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8654">
      <w:p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网络安全设备维保技术参数</w:t>
      </w:r>
    </w:p>
    <w:p w14:paraId="36078CF0">
      <w:pPr>
        <w:ind w:firstLine="480" w:firstLineChars="200"/>
        <w:rPr>
          <w:rFonts w:hint="eastAsia"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目前，我院所部署的5套网络安全设备（内网准入系统、内网杀毒软件、上网行为管理、双因素认证、安全隔离网闸），</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承担着边界与终端的安全防护、威胁监测以及业务通信安全保障等关键职能，是支撑医院信息系统安全稳定运行的重要基础设施。</w:t>
      </w:r>
      <w:r>
        <w:rPr>
          <w:rFonts w:hint="eastAsia" w:ascii="宋体" w:hAnsi="宋体" w:eastAsia="宋体" w:cs="宋体"/>
          <w:sz w:val="24"/>
          <w:szCs w:val="24"/>
          <w:lang w:val="en-US" w:eastAsia="zh-CN"/>
        </w:rPr>
        <w:t>为持续保障这些设备的安全防护效能，确保其能与最新的安全威胁态势保持同步，现需采购基于所需维护的安全软硬件产品设备系统进行开展专业的维保服务，切实筑牢医院网络安全防线，为医疗业务的安全稳定运行提供坚实保障。</w:t>
      </w:r>
    </w:p>
    <w:p w14:paraId="7023E545">
      <w:pPr>
        <w:pStyle w:val="6"/>
        <w:numPr>
          <w:ilvl w:val="2"/>
          <w:numId w:val="0"/>
        </w:numPr>
        <w:spacing w:before="156" w:after="156" w:line="240" w:lineRule="auto"/>
        <w:ind w:left="420" w:leftChars="0" w:firstLine="0" w:firstLineChars="0"/>
        <w:jc w:val="left"/>
        <w:outlineLvl w:val="2"/>
        <w:rPr>
          <w:rFonts w:hint="default" w:eastAsia="黑体" w:cs="黑体"/>
          <w:sz w:val="28"/>
          <w:szCs w:val="28"/>
          <w:lang w:val="en-US" w:eastAsia="zh-CN"/>
        </w:rPr>
      </w:pPr>
      <w:r>
        <w:rPr>
          <w:rFonts w:hint="eastAsia" w:eastAsia="黑体" w:cs="黑体"/>
          <w:sz w:val="28"/>
          <w:szCs w:val="28"/>
          <w:lang w:val="en-US" w:eastAsia="zh-CN"/>
        </w:rPr>
        <w:t>一、维保设备清单</w:t>
      </w:r>
    </w:p>
    <w:p w14:paraId="63BE53D6">
      <w:pPr>
        <w:numPr>
          <w:ilvl w:val="0"/>
          <w:numId w:val="0"/>
        </w:numPr>
        <w:spacing w:before="156" w:beforeLines="50" w:after="156" w:afterLines="50"/>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需</w:t>
      </w:r>
      <w:r>
        <w:rPr>
          <w:rFonts w:hint="default" w:ascii="宋体" w:hAnsi="宋体" w:eastAsia="宋体" w:cs="宋体"/>
          <w:kern w:val="0"/>
          <w:sz w:val="24"/>
          <w:szCs w:val="24"/>
          <w:lang w:val="en-US" w:eastAsia="zh-CN"/>
        </w:rPr>
        <w:t>提供有效安全设备技术支持服务，包括但不限于：设备原厂特征库升级服务、设备故障快速响应处置服务、维保设备应急处置支持等</w:t>
      </w:r>
      <w:r>
        <w:rPr>
          <w:rFonts w:hint="eastAsia" w:ascii="宋体" w:hAnsi="宋体" w:eastAsia="宋体" w:cs="宋体"/>
          <w:kern w:val="0"/>
          <w:sz w:val="24"/>
          <w:szCs w:val="24"/>
          <w:lang w:val="en-US" w:eastAsia="zh-CN"/>
        </w:rPr>
        <w:t>。</w:t>
      </w:r>
    </w:p>
    <w:tbl>
      <w:tblPr>
        <w:tblStyle w:val="7"/>
        <w:tblW w:w="813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80"/>
        <w:gridCol w:w="2659"/>
        <w:gridCol w:w="1566"/>
        <w:gridCol w:w="3333"/>
      </w:tblGrid>
      <w:tr w14:paraId="201F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Header/>
          <w:tblCellSpacing w:w="0" w:type="dxa"/>
          <w:jc w:val="center"/>
        </w:trPr>
        <w:tc>
          <w:tcPr>
            <w:tcW w:w="580" w:type="dxa"/>
            <w:shd w:val="clear" w:color="auto" w:fill="FFFFFF"/>
            <w:tcMar>
              <w:top w:w="10" w:type="dxa"/>
              <w:left w:w="118" w:type="dxa"/>
              <w:bottom w:w="10" w:type="dxa"/>
              <w:right w:w="118" w:type="dxa"/>
            </w:tcMar>
            <w:vAlign w:val="center"/>
          </w:tcPr>
          <w:p w14:paraId="1F2B3C87">
            <w:pPr>
              <w:snapToGrid w:val="0"/>
              <w:spacing w:before="156" w:beforeLines="50" w:after="156" w:afterLines="50" w:line="240" w:lineRule="auto"/>
              <w:ind w:left="0" w:leftChars="0" w:right="0" w:rightChars="0" w:firstLine="0" w:firstLineChars="0"/>
              <w:jc w:val="center"/>
              <w:rPr>
                <w:rFonts w:ascii="宋体" w:hAnsi="宋体" w:eastAsia="宋体" w:cs="宋体"/>
                <w:b/>
                <w:sz w:val="22"/>
                <w:szCs w:val="22"/>
              </w:rPr>
            </w:pPr>
            <w:r>
              <w:rPr>
                <w:rFonts w:ascii="宋体" w:hAnsi="宋体" w:eastAsia="宋体" w:cs="宋体"/>
                <w:b/>
                <w:sz w:val="22"/>
                <w:szCs w:val="22"/>
              </w:rPr>
              <w:t>序号</w:t>
            </w:r>
          </w:p>
        </w:tc>
        <w:tc>
          <w:tcPr>
            <w:tcW w:w="2659" w:type="dxa"/>
            <w:shd w:val="clear" w:color="auto" w:fill="FFFFFF"/>
            <w:tcMar>
              <w:top w:w="10" w:type="dxa"/>
              <w:left w:w="108" w:type="dxa"/>
              <w:bottom w:w="10" w:type="dxa"/>
              <w:right w:w="118" w:type="dxa"/>
            </w:tcMar>
            <w:vAlign w:val="center"/>
          </w:tcPr>
          <w:p w14:paraId="6F309F8B">
            <w:pPr>
              <w:snapToGrid w:val="0"/>
              <w:spacing w:before="156" w:beforeLines="50" w:after="156" w:afterLines="50" w:line="240" w:lineRule="auto"/>
              <w:ind w:left="0" w:leftChars="0" w:right="0" w:rightChars="0" w:firstLine="0" w:firstLineChars="0"/>
              <w:jc w:val="center"/>
              <w:rPr>
                <w:rFonts w:ascii="宋体" w:hAnsi="宋体" w:eastAsia="宋体" w:cs="宋体"/>
                <w:b/>
                <w:sz w:val="22"/>
                <w:szCs w:val="22"/>
              </w:rPr>
            </w:pPr>
            <w:r>
              <w:rPr>
                <w:rFonts w:ascii="宋体" w:hAnsi="宋体" w:eastAsia="宋体" w:cs="宋体"/>
                <w:b/>
                <w:sz w:val="22"/>
                <w:szCs w:val="22"/>
              </w:rPr>
              <w:t>产品名称</w:t>
            </w:r>
          </w:p>
        </w:tc>
        <w:tc>
          <w:tcPr>
            <w:tcW w:w="1566" w:type="dxa"/>
            <w:shd w:val="clear" w:color="auto" w:fill="FFFFFF"/>
            <w:tcMar>
              <w:top w:w="10" w:type="dxa"/>
              <w:left w:w="108" w:type="dxa"/>
              <w:bottom w:w="10" w:type="dxa"/>
              <w:right w:w="118" w:type="dxa"/>
            </w:tcMar>
            <w:vAlign w:val="center"/>
          </w:tcPr>
          <w:p w14:paraId="1AEE69FB">
            <w:pPr>
              <w:snapToGrid w:val="0"/>
              <w:spacing w:before="156" w:beforeLines="50" w:after="156" w:afterLines="50" w:line="240" w:lineRule="auto"/>
              <w:ind w:left="0" w:leftChars="0" w:right="0" w:rightChars="0" w:firstLine="0" w:firstLineChars="0"/>
              <w:jc w:val="center"/>
              <w:rPr>
                <w:rFonts w:ascii="宋体" w:hAnsi="宋体" w:eastAsia="宋体" w:cs="宋体"/>
                <w:b/>
                <w:sz w:val="22"/>
                <w:szCs w:val="22"/>
              </w:rPr>
            </w:pPr>
            <w:r>
              <w:rPr>
                <w:rFonts w:ascii="宋体" w:hAnsi="宋体" w:eastAsia="宋体" w:cs="宋体"/>
                <w:b/>
                <w:sz w:val="22"/>
                <w:szCs w:val="22"/>
              </w:rPr>
              <w:t>品牌型号</w:t>
            </w:r>
          </w:p>
        </w:tc>
        <w:tc>
          <w:tcPr>
            <w:tcW w:w="3333" w:type="dxa"/>
            <w:shd w:val="clear" w:color="auto" w:fill="FFFFFF"/>
            <w:tcMar>
              <w:top w:w="10" w:type="dxa"/>
              <w:left w:w="108" w:type="dxa"/>
              <w:bottom w:w="10" w:type="dxa"/>
              <w:right w:w="118" w:type="dxa"/>
            </w:tcMar>
            <w:vAlign w:val="center"/>
          </w:tcPr>
          <w:p w14:paraId="4ACFA70C">
            <w:pPr>
              <w:snapToGrid w:val="0"/>
              <w:spacing w:line="240" w:lineRule="auto"/>
              <w:ind w:left="0" w:leftChars="0" w:right="0" w:rightChars="0"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val="en-US" w:eastAsia="zh-CN"/>
              </w:rPr>
              <w:t>采购内容</w:t>
            </w:r>
          </w:p>
        </w:tc>
      </w:tr>
      <w:tr w14:paraId="0E99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CellSpacing w:w="0" w:type="dxa"/>
          <w:jc w:val="center"/>
        </w:trPr>
        <w:tc>
          <w:tcPr>
            <w:tcW w:w="580" w:type="dxa"/>
            <w:shd w:val="clear" w:color="auto" w:fill="FFFFFF"/>
            <w:tcMar>
              <w:top w:w="0" w:type="dxa"/>
              <w:left w:w="118" w:type="dxa"/>
              <w:bottom w:w="10" w:type="dxa"/>
              <w:right w:w="118" w:type="dxa"/>
            </w:tcMar>
            <w:vAlign w:val="center"/>
          </w:tcPr>
          <w:p w14:paraId="58880167">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ascii="宋体" w:hAnsi="宋体" w:eastAsia="宋体" w:cs="宋体"/>
                <w:sz w:val="22"/>
                <w:szCs w:val="22"/>
              </w:rPr>
              <w:t>1</w:t>
            </w:r>
          </w:p>
        </w:tc>
        <w:tc>
          <w:tcPr>
            <w:tcW w:w="2659" w:type="dxa"/>
            <w:shd w:val="clear" w:color="auto" w:fill="FFFFFF"/>
            <w:tcMar>
              <w:top w:w="0" w:type="dxa"/>
              <w:left w:w="108" w:type="dxa"/>
              <w:bottom w:w="10" w:type="dxa"/>
              <w:right w:w="118" w:type="dxa"/>
            </w:tcMar>
            <w:vAlign w:val="top"/>
          </w:tcPr>
          <w:p w14:paraId="3360E5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内网盈高准入系统</w:t>
            </w:r>
          </w:p>
        </w:tc>
        <w:tc>
          <w:tcPr>
            <w:tcW w:w="1566" w:type="dxa"/>
            <w:shd w:val="clear" w:color="auto" w:fill="FFFFFF"/>
            <w:tcMar>
              <w:top w:w="0" w:type="dxa"/>
              <w:left w:w="108" w:type="dxa"/>
              <w:bottom w:w="10" w:type="dxa"/>
              <w:right w:w="118" w:type="dxa"/>
            </w:tcMar>
            <w:vAlign w:val="center"/>
          </w:tcPr>
          <w:p w14:paraId="24636129">
            <w:pPr>
              <w:snapToGrid w:val="0"/>
              <w:spacing w:before="156" w:beforeLines="50" w:after="156" w:afterLines="50" w:line="240" w:lineRule="auto"/>
              <w:ind w:left="0" w:leftChars="0" w:right="0" w:rightChars="0" w:firstLine="0" w:firstLineChars="0"/>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ASM6837</w:t>
            </w:r>
          </w:p>
        </w:tc>
        <w:tc>
          <w:tcPr>
            <w:tcW w:w="3333" w:type="dxa"/>
            <w:shd w:val="clear" w:color="auto" w:fill="FFFFFF"/>
            <w:tcMar>
              <w:top w:w="0" w:type="dxa"/>
              <w:left w:w="108" w:type="dxa"/>
              <w:bottom w:w="10" w:type="dxa"/>
              <w:right w:w="118" w:type="dxa"/>
            </w:tcMar>
            <w:vAlign w:val="center"/>
          </w:tcPr>
          <w:p w14:paraId="37EA339A">
            <w:pPr>
              <w:snapToGrid w:val="0"/>
              <w:spacing w:line="240" w:lineRule="auto"/>
              <w:ind w:left="0" w:leftChars="0" w:right="0" w:righ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设备维保服务3</w:t>
            </w:r>
            <w:r>
              <w:rPr>
                <w:rFonts w:ascii="宋体" w:hAnsi="宋体" w:eastAsia="宋体" w:cs="宋体"/>
                <w:sz w:val="24"/>
                <w:szCs w:val="24"/>
              </w:rPr>
              <w:t>年</w:t>
            </w:r>
          </w:p>
        </w:tc>
      </w:tr>
      <w:tr w14:paraId="0D9B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CellSpacing w:w="0" w:type="dxa"/>
          <w:jc w:val="center"/>
        </w:trPr>
        <w:tc>
          <w:tcPr>
            <w:tcW w:w="580" w:type="dxa"/>
            <w:shd w:val="clear" w:color="auto" w:fill="FFFFFF"/>
            <w:tcMar>
              <w:top w:w="0" w:type="dxa"/>
              <w:left w:w="118" w:type="dxa"/>
              <w:bottom w:w="10" w:type="dxa"/>
              <w:right w:w="118" w:type="dxa"/>
            </w:tcMar>
            <w:vAlign w:val="center"/>
          </w:tcPr>
          <w:p w14:paraId="4F3189B7">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ascii="宋体" w:hAnsi="宋体" w:eastAsia="宋体" w:cs="宋体"/>
                <w:sz w:val="22"/>
                <w:szCs w:val="22"/>
              </w:rPr>
              <w:t>2</w:t>
            </w:r>
          </w:p>
        </w:tc>
        <w:tc>
          <w:tcPr>
            <w:tcW w:w="2659" w:type="dxa"/>
            <w:shd w:val="clear" w:color="auto" w:fill="FFFFFF"/>
            <w:tcMar>
              <w:top w:w="0" w:type="dxa"/>
              <w:left w:w="108" w:type="dxa"/>
              <w:bottom w:w="10" w:type="dxa"/>
              <w:right w:w="118" w:type="dxa"/>
            </w:tcMar>
            <w:vAlign w:val="center"/>
          </w:tcPr>
          <w:p w14:paraId="3ABAC6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CKEY动态认证系统</w:t>
            </w:r>
          </w:p>
        </w:tc>
        <w:tc>
          <w:tcPr>
            <w:tcW w:w="1566" w:type="dxa"/>
            <w:shd w:val="clear" w:color="auto" w:fill="FFFFFF"/>
            <w:tcMar>
              <w:top w:w="0" w:type="dxa"/>
              <w:left w:w="108" w:type="dxa"/>
              <w:bottom w:w="10" w:type="dxa"/>
              <w:right w:w="118" w:type="dxa"/>
            </w:tcMar>
            <w:vAlign w:val="center"/>
          </w:tcPr>
          <w:p w14:paraId="7B747772">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hint="eastAsia" w:ascii="宋体" w:hAnsi="宋体" w:eastAsia="宋体" w:cs="宋体"/>
                <w:sz w:val="22"/>
                <w:szCs w:val="22"/>
                <w:lang w:val="en-US" w:eastAsia="zh-CN"/>
              </w:rPr>
              <w:t>CKEY DAS V1.0</w:t>
            </w:r>
          </w:p>
        </w:tc>
        <w:tc>
          <w:tcPr>
            <w:tcW w:w="3333" w:type="dxa"/>
            <w:shd w:val="clear" w:color="auto" w:fill="FFFFFF"/>
            <w:tcMar>
              <w:top w:w="0" w:type="dxa"/>
              <w:left w:w="108" w:type="dxa"/>
              <w:bottom w:w="10" w:type="dxa"/>
              <w:right w:w="118" w:type="dxa"/>
            </w:tcMar>
            <w:vAlign w:val="center"/>
          </w:tcPr>
          <w:p w14:paraId="4CB7A924">
            <w:pPr>
              <w:snapToGrid w:val="0"/>
              <w:spacing w:line="240" w:lineRule="auto"/>
              <w:ind w:left="0" w:leftChars="0" w:right="0" w:rightChars="0"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系统使用授权3</w:t>
            </w:r>
            <w:r>
              <w:rPr>
                <w:rFonts w:ascii="宋体" w:hAnsi="宋体" w:eastAsia="宋体" w:cs="宋体"/>
                <w:sz w:val="24"/>
                <w:szCs w:val="24"/>
              </w:rPr>
              <w:t>年</w:t>
            </w:r>
          </w:p>
        </w:tc>
      </w:tr>
      <w:tr w14:paraId="0A44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CellSpacing w:w="0" w:type="dxa"/>
          <w:jc w:val="center"/>
        </w:trPr>
        <w:tc>
          <w:tcPr>
            <w:tcW w:w="580" w:type="dxa"/>
            <w:shd w:val="clear" w:color="auto" w:fill="FFFFFF"/>
            <w:tcMar>
              <w:top w:w="0" w:type="dxa"/>
              <w:left w:w="118" w:type="dxa"/>
              <w:bottom w:w="10" w:type="dxa"/>
              <w:right w:w="118" w:type="dxa"/>
            </w:tcMar>
            <w:vAlign w:val="center"/>
          </w:tcPr>
          <w:p w14:paraId="23B47267">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ascii="宋体" w:hAnsi="宋体" w:eastAsia="宋体" w:cs="宋体"/>
                <w:sz w:val="22"/>
                <w:szCs w:val="22"/>
              </w:rPr>
              <w:t>3</w:t>
            </w:r>
          </w:p>
        </w:tc>
        <w:tc>
          <w:tcPr>
            <w:tcW w:w="2659" w:type="dxa"/>
            <w:shd w:val="clear" w:color="auto" w:fill="FFFFFF"/>
            <w:tcMar>
              <w:top w:w="0" w:type="dxa"/>
              <w:left w:w="108" w:type="dxa"/>
              <w:bottom w:w="10" w:type="dxa"/>
              <w:right w:w="118" w:type="dxa"/>
            </w:tcMar>
            <w:vAlign w:val="top"/>
          </w:tcPr>
          <w:p w14:paraId="599105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sz w:val="22"/>
                <w:szCs w:val="22"/>
                <w:lang w:eastAsia="zh-CN"/>
              </w:rPr>
            </w:pPr>
            <w:r>
              <w:rPr>
                <w:rFonts w:hint="eastAsia" w:ascii="宋体" w:hAnsi="宋体" w:eastAsia="宋体" w:cs="宋体"/>
                <w:i w:val="0"/>
                <w:iCs w:val="0"/>
                <w:color w:val="000000"/>
                <w:kern w:val="0"/>
                <w:sz w:val="22"/>
                <w:szCs w:val="22"/>
                <w:u w:val="none"/>
                <w:lang w:val="en-US" w:eastAsia="zh-CN" w:bidi="ar"/>
              </w:rPr>
              <w:t>内网杀毒软件</w:t>
            </w:r>
          </w:p>
        </w:tc>
        <w:tc>
          <w:tcPr>
            <w:tcW w:w="1566" w:type="dxa"/>
            <w:shd w:val="clear" w:color="auto" w:fill="FFFFFF"/>
            <w:tcMar>
              <w:top w:w="0" w:type="dxa"/>
              <w:left w:w="108" w:type="dxa"/>
              <w:bottom w:w="10" w:type="dxa"/>
              <w:right w:w="118" w:type="dxa"/>
            </w:tcMar>
            <w:vAlign w:val="center"/>
          </w:tcPr>
          <w:p w14:paraId="2A973351">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hint="eastAsia" w:ascii="宋体" w:hAnsi="宋体" w:eastAsia="宋体" w:cs="宋体"/>
                <w:sz w:val="22"/>
                <w:szCs w:val="22"/>
                <w:lang w:val="en-US" w:eastAsia="zh-CN"/>
              </w:rPr>
              <w:t>天擎V6.0</w:t>
            </w:r>
          </w:p>
        </w:tc>
        <w:tc>
          <w:tcPr>
            <w:tcW w:w="3333" w:type="dxa"/>
            <w:shd w:val="clear" w:color="auto" w:fill="FFFFFF"/>
            <w:tcMar>
              <w:top w:w="0" w:type="dxa"/>
              <w:left w:w="108" w:type="dxa"/>
              <w:bottom w:w="10" w:type="dxa"/>
              <w:right w:w="118" w:type="dxa"/>
            </w:tcMar>
            <w:vAlign w:val="center"/>
          </w:tcPr>
          <w:p w14:paraId="001DB801">
            <w:pPr>
              <w:snapToGrid w:val="0"/>
              <w:spacing w:line="240" w:lineRule="auto"/>
              <w:ind w:left="0" w:leftChars="0" w:right="0" w:righ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系统特征库授权升级服务3</w:t>
            </w:r>
            <w:r>
              <w:rPr>
                <w:rFonts w:ascii="宋体" w:hAnsi="宋体" w:eastAsia="宋体" w:cs="宋体"/>
                <w:sz w:val="24"/>
                <w:szCs w:val="24"/>
              </w:rPr>
              <w:t>年</w:t>
            </w:r>
          </w:p>
        </w:tc>
      </w:tr>
      <w:tr w14:paraId="0903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CellSpacing w:w="0" w:type="dxa"/>
          <w:jc w:val="center"/>
        </w:trPr>
        <w:tc>
          <w:tcPr>
            <w:tcW w:w="580" w:type="dxa"/>
            <w:shd w:val="clear" w:color="auto" w:fill="FFFFFF"/>
            <w:tcMar>
              <w:top w:w="0" w:type="dxa"/>
              <w:left w:w="118" w:type="dxa"/>
              <w:bottom w:w="10" w:type="dxa"/>
              <w:right w:w="118" w:type="dxa"/>
            </w:tcMar>
            <w:vAlign w:val="center"/>
          </w:tcPr>
          <w:p w14:paraId="06B6F5BA">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ascii="宋体" w:hAnsi="宋体" w:eastAsia="宋体" w:cs="宋体"/>
                <w:sz w:val="22"/>
                <w:szCs w:val="22"/>
              </w:rPr>
              <w:t>4</w:t>
            </w:r>
          </w:p>
        </w:tc>
        <w:tc>
          <w:tcPr>
            <w:tcW w:w="2659" w:type="dxa"/>
            <w:shd w:val="clear" w:color="auto" w:fill="FFFFFF"/>
            <w:tcMar>
              <w:top w:w="0" w:type="dxa"/>
              <w:left w:w="108" w:type="dxa"/>
              <w:bottom w:w="10" w:type="dxa"/>
              <w:right w:w="118" w:type="dxa"/>
            </w:tcMar>
            <w:vAlign w:val="top"/>
          </w:tcPr>
          <w:p w14:paraId="089392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sz w:val="22"/>
                <w:szCs w:val="22"/>
                <w:lang w:eastAsia="zh-CN"/>
              </w:rPr>
            </w:pPr>
            <w:r>
              <w:rPr>
                <w:rFonts w:hint="eastAsia" w:ascii="宋体" w:hAnsi="宋体" w:eastAsia="宋体" w:cs="宋体"/>
                <w:i w:val="0"/>
                <w:iCs w:val="0"/>
                <w:color w:val="000000"/>
                <w:kern w:val="0"/>
                <w:sz w:val="22"/>
                <w:szCs w:val="22"/>
                <w:u w:val="none"/>
                <w:lang w:val="en-US" w:eastAsia="zh-CN" w:bidi="ar"/>
              </w:rPr>
              <w:t>上网行为管理系统</w:t>
            </w:r>
          </w:p>
        </w:tc>
        <w:tc>
          <w:tcPr>
            <w:tcW w:w="1566" w:type="dxa"/>
            <w:shd w:val="clear" w:color="auto" w:fill="FFFFFF"/>
            <w:tcMar>
              <w:top w:w="0" w:type="dxa"/>
              <w:left w:w="108" w:type="dxa"/>
              <w:bottom w:w="10" w:type="dxa"/>
              <w:right w:w="118" w:type="dxa"/>
            </w:tcMar>
            <w:vAlign w:val="center"/>
          </w:tcPr>
          <w:p w14:paraId="6739CF85">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hint="eastAsia" w:ascii="宋体" w:hAnsi="宋体" w:eastAsia="宋体" w:cs="宋体"/>
                <w:sz w:val="22"/>
                <w:szCs w:val="22"/>
                <w:lang w:val="en-US" w:eastAsia="zh-CN"/>
              </w:rPr>
              <w:t>NT3200-45-HW</w:t>
            </w:r>
          </w:p>
        </w:tc>
        <w:tc>
          <w:tcPr>
            <w:tcW w:w="3333" w:type="dxa"/>
            <w:shd w:val="clear" w:color="auto" w:fill="FFFFFF"/>
            <w:tcMar>
              <w:top w:w="0" w:type="dxa"/>
              <w:left w:w="108" w:type="dxa"/>
              <w:bottom w:w="10" w:type="dxa"/>
              <w:right w:w="118" w:type="dxa"/>
            </w:tcMar>
            <w:vAlign w:val="center"/>
          </w:tcPr>
          <w:p w14:paraId="3EFE2965">
            <w:pPr>
              <w:snapToGrid w:val="0"/>
              <w:spacing w:line="240" w:lineRule="auto"/>
              <w:ind w:left="0" w:leftChars="0" w:right="0" w:righ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系统特征库授权升级服务3</w:t>
            </w:r>
            <w:r>
              <w:rPr>
                <w:rFonts w:ascii="宋体" w:hAnsi="宋体" w:eastAsia="宋体" w:cs="宋体"/>
                <w:sz w:val="24"/>
                <w:szCs w:val="24"/>
              </w:rPr>
              <w:t>年</w:t>
            </w:r>
          </w:p>
        </w:tc>
      </w:tr>
      <w:tr w14:paraId="59DD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CellSpacing w:w="0" w:type="dxa"/>
          <w:jc w:val="center"/>
        </w:trPr>
        <w:tc>
          <w:tcPr>
            <w:tcW w:w="580" w:type="dxa"/>
            <w:shd w:val="clear" w:color="auto" w:fill="FFFFFF"/>
            <w:tcMar>
              <w:top w:w="0" w:type="dxa"/>
              <w:left w:w="118" w:type="dxa"/>
              <w:bottom w:w="10" w:type="dxa"/>
              <w:right w:w="118" w:type="dxa"/>
            </w:tcMar>
            <w:vAlign w:val="center"/>
          </w:tcPr>
          <w:p w14:paraId="3DEFF8C2">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ascii="宋体" w:hAnsi="宋体" w:eastAsia="宋体" w:cs="宋体"/>
                <w:sz w:val="22"/>
                <w:szCs w:val="22"/>
              </w:rPr>
              <w:t>5</w:t>
            </w:r>
          </w:p>
        </w:tc>
        <w:tc>
          <w:tcPr>
            <w:tcW w:w="2659" w:type="dxa"/>
            <w:shd w:val="clear" w:color="auto" w:fill="FFFFFF"/>
            <w:tcMar>
              <w:top w:w="0" w:type="dxa"/>
              <w:left w:w="108" w:type="dxa"/>
              <w:bottom w:w="10" w:type="dxa"/>
              <w:right w:w="118" w:type="dxa"/>
            </w:tcMar>
            <w:vAlign w:val="top"/>
          </w:tcPr>
          <w:p w14:paraId="36E41A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安全管理网闸（安全隔离与信息交换系统）</w:t>
            </w:r>
          </w:p>
        </w:tc>
        <w:tc>
          <w:tcPr>
            <w:tcW w:w="1566" w:type="dxa"/>
            <w:shd w:val="clear" w:color="auto" w:fill="FFFFFF"/>
            <w:tcMar>
              <w:top w:w="0" w:type="dxa"/>
              <w:left w:w="108" w:type="dxa"/>
              <w:bottom w:w="10" w:type="dxa"/>
              <w:right w:w="118" w:type="dxa"/>
            </w:tcMar>
            <w:vAlign w:val="center"/>
          </w:tcPr>
          <w:p w14:paraId="6A993A74">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hint="eastAsia" w:ascii="宋体" w:hAnsi="宋体" w:eastAsia="宋体" w:cs="宋体"/>
                <w:sz w:val="22"/>
                <w:szCs w:val="22"/>
                <w:lang w:val="en-US" w:eastAsia="zh-CN"/>
              </w:rPr>
              <w:t>G9000-TV20M</w:t>
            </w:r>
          </w:p>
        </w:tc>
        <w:tc>
          <w:tcPr>
            <w:tcW w:w="3333" w:type="dxa"/>
            <w:shd w:val="clear" w:color="auto" w:fill="FFFFFF"/>
            <w:tcMar>
              <w:top w:w="0" w:type="dxa"/>
              <w:left w:w="108" w:type="dxa"/>
              <w:bottom w:w="10" w:type="dxa"/>
              <w:right w:w="118" w:type="dxa"/>
            </w:tcMar>
            <w:vAlign w:val="center"/>
          </w:tcPr>
          <w:p w14:paraId="5C83D202">
            <w:pPr>
              <w:snapToGrid w:val="0"/>
              <w:spacing w:line="240" w:lineRule="auto"/>
              <w:ind w:left="0" w:leftChars="0" w:right="0" w:righ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设备维保服务3</w:t>
            </w:r>
            <w:r>
              <w:rPr>
                <w:rFonts w:ascii="宋体" w:hAnsi="宋体" w:eastAsia="宋体" w:cs="宋体"/>
                <w:sz w:val="24"/>
                <w:szCs w:val="24"/>
              </w:rPr>
              <w:t>年</w:t>
            </w:r>
          </w:p>
        </w:tc>
      </w:tr>
    </w:tbl>
    <w:p w14:paraId="46E6FD61">
      <w:pPr>
        <w:ind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条款参数</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B6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tcBorders>
              <w:top w:val="single" w:color="auto" w:sz="12" w:space="0"/>
              <w:left w:val="single" w:color="auto" w:sz="12" w:space="0"/>
              <w:bottom w:val="single" w:color="auto" w:sz="4" w:space="0"/>
              <w:right w:val="single" w:color="auto" w:sz="12" w:space="0"/>
            </w:tcBorders>
            <w:noWrap w:val="0"/>
            <w:vAlign w:val="top"/>
          </w:tcPr>
          <w:p w14:paraId="64EEA484">
            <w:pPr>
              <w:snapToGrid w:val="0"/>
              <w:spacing w:line="240" w:lineRule="auto"/>
              <w:ind w:firstLine="480"/>
              <w:jc w:val="center"/>
              <w:rPr>
                <w:rFonts w:hint="eastAsia" w:ascii="宋体" w:hAnsi="宋体" w:eastAsia="宋体" w:cs="宋体"/>
                <w:sz w:val="24"/>
                <w:szCs w:val="24"/>
              </w:rPr>
            </w:pPr>
            <w:r>
              <w:rPr>
                <w:rFonts w:hint="eastAsia" w:ascii="宋体" w:hAnsi="宋体" w:eastAsia="宋体" w:cs="宋体"/>
                <w:sz w:val="24"/>
                <w:szCs w:val="24"/>
              </w:rPr>
              <w:t>★具体内容</w:t>
            </w:r>
          </w:p>
        </w:tc>
      </w:tr>
      <w:tr w14:paraId="7ED8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tcBorders>
              <w:top w:val="single" w:color="auto" w:sz="4" w:space="0"/>
              <w:left w:val="single" w:color="auto" w:sz="12" w:space="0"/>
              <w:bottom w:val="single" w:color="auto" w:sz="4" w:space="0"/>
              <w:right w:val="single" w:color="auto" w:sz="12" w:space="0"/>
            </w:tcBorders>
            <w:noWrap w:val="0"/>
            <w:vAlign w:val="top"/>
          </w:tcPr>
          <w:p w14:paraId="7AD67C46">
            <w:pPr>
              <w:snapToGrid w:val="0"/>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为保障做好本次项目的维保服务，有效维护</w:t>
            </w:r>
            <w:r>
              <w:rPr>
                <w:rFonts w:hint="eastAsia" w:ascii="宋体" w:hAnsi="宋体" w:eastAsia="宋体" w:cs="宋体"/>
                <w:sz w:val="24"/>
                <w:szCs w:val="24"/>
                <w:lang w:eastAsia="zh-CN"/>
              </w:rPr>
              <w:t>采购人</w:t>
            </w:r>
            <w:r>
              <w:rPr>
                <w:rFonts w:hint="eastAsia" w:ascii="宋体" w:hAnsi="宋体" w:eastAsia="宋体" w:cs="宋体"/>
                <w:sz w:val="24"/>
                <w:szCs w:val="24"/>
              </w:rPr>
              <w:t>网络安全防护能力，</w:t>
            </w:r>
            <w:r>
              <w:rPr>
                <w:rFonts w:hint="eastAsia" w:ascii="宋体" w:hAnsi="宋体" w:eastAsia="宋体" w:cs="宋体"/>
                <w:sz w:val="24"/>
                <w:szCs w:val="24"/>
                <w:lang w:eastAsia="zh-CN"/>
              </w:rPr>
              <w:t>磋商响应供应商</w:t>
            </w:r>
            <w:r>
              <w:rPr>
                <w:rFonts w:hint="eastAsia" w:ascii="宋体" w:hAnsi="宋体" w:eastAsia="宋体" w:cs="宋体"/>
                <w:sz w:val="24"/>
                <w:szCs w:val="24"/>
                <w:lang w:val="en-US" w:eastAsia="zh-CN"/>
              </w:rPr>
              <w:t>需</w:t>
            </w:r>
            <w:r>
              <w:rPr>
                <w:rFonts w:hint="eastAsia" w:ascii="宋体" w:hAnsi="宋体" w:eastAsia="宋体" w:cs="宋体"/>
                <w:sz w:val="24"/>
                <w:szCs w:val="24"/>
              </w:rPr>
              <w:t>提供有跟本次项目</w:t>
            </w:r>
            <w:r>
              <w:rPr>
                <w:rFonts w:hint="eastAsia" w:ascii="宋体" w:hAnsi="宋体" w:eastAsia="宋体" w:cs="宋体"/>
                <w:sz w:val="24"/>
                <w:szCs w:val="24"/>
                <w:lang w:val="en-US" w:eastAsia="zh-CN"/>
              </w:rPr>
              <w:t>采购内容</w:t>
            </w:r>
            <w:r>
              <w:rPr>
                <w:rFonts w:hint="eastAsia" w:ascii="宋体" w:hAnsi="宋体" w:eastAsia="宋体" w:cs="宋体"/>
                <w:sz w:val="24"/>
                <w:szCs w:val="24"/>
              </w:rPr>
              <w:t>清单范围内的</w:t>
            </w:r>
            <w:r>
              <w:rPr>
                <w:rFonts w:hint="eastAsia" w:ascii="宋体" w:hAnsi="宋体" w:eastAsia="宋体" w:cs="宋体"/>
                <w:sz w:val="24"/>
                <w:szCs w:val="24"/>
                <w:lang w:val="en-US" w:eastAsia="zh-CN"/>
              </w:rPr>
              <w:t>核心产品</w:t>
            </w:r>
            <w:r>
              <w:rPr>
                <w:rFonts w:hint="eastAsia" w:ascii="宋体" w:hAnsi="宋体" w:eastAsia="宋体" w:cs="宋体"/>
                <w:sz w:val="24"/>
                <w:szCs w:val="24"/>
              </w:rPr>
              <w:t>【</w:t>
            </w:r>
            <w:r>
              <w:rPr>
                <w:rFonts w:hint="eastAsia" w:ascii="宋体" w:hAnsi="宋体" w:eastAsia="宋体" w:cs="宋体"/>
                <w:sz w:val="24"/>
                <w:szCs w:val="24"/>
                <w:lang w:val="en-US" w:eastAsia="zh-CN"/>
              </w:rPr>
              <w:t>内网盈高准入系统，型号ASM6837</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内网杀毒软件，型号天擎V6.0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的</w:t>
            </w:r>
            <w:r>
              <w:rPr>
                <w:rFonts w:hint="eastAsia" w:ascii="宋体" w:hAnsi="宋体" w:eastAsia="宋体" w:cs="宋体"/>
                <w:sz w:val="24"/>
                <w:szCs w:val="24"/>
              </w:rPr>
              <w:t>厂家</w:t>
            </w:r>
            <w:r>
              <w:rPr>
                <w:rFonts w:hint="eastAsia" w:ascii="宋体" w:hAnsi="宋体" w:eastAsia="宋体" w:cs="宋体"/>
                <w:sz w:val="24"/>
                <w:szCs w:val="24"/>
                <w:lang w:val="en-US" w:eastAsia="zh-CN"/>
              </w:rPr>
              <w:t>关于该项目、该产品</w:t>
            </w:r>
            <w:r>
              <w:rPr>
                <w:rFonts w:hint="eastAsia" w:ascii="宋体" w:hAnsi="宋体" w:eastAsia="宋体" w:cs="宋体"/>
                <w:sz w:val="24"/>
                <w:szCs w:val="24"/>
              </w:rPr>
              <w:t>的合作协议或合同相关证明，可以佐证磋商供应商具备对应技术能力与资质来为</w:t>
            </w:r>
            <w:r>
              <w:rPr>
                <w:rFonts w:hint="eastAsia" w:ascii="宋体" w:hAnsi="宋体" w:eastAsia="宋体" w:cs="宋体"/>
                <w:sz w:val="24"/>
                <w:szCs w:val="24"/>
                <w:lang w:eastAsia="zh-CN"/>
              </w:rPr>
              <w:t>采购人</w:t>
            </w:r>
            <w:r>
              <w:rPr>
                <w:rFonts w:hint="eastAsia" w:ascii="宋体" w:hAnsi="宋体" w:eastAsia="宋体" w:cs="宋体"/>
                <w:sz w:val="24"/>
                <w:szCs w:val="24"/>
              </w:rPr>
              <w:t>提供维保服务</w:t>
            </w:r>
            <w:r>
              <w:rPr>
                <w:rFonts w:hint="eastAsia" w:ascii="宋体" w:hAnsi="宋体" w:eastAsia="宋体" w:cs="宋体"/>
                <w:sz w:val="24"/>
                <w:szCs w:val="24"/>
                <w:lang w:val="en-US" w:eastAsia="zh-CN"/>
              </w:rPr>
              <w:t>等</w:t>
            </w:r>
            <w:r>
              <w:rPr>
                <w:rFonts w:hint="eastAsia" w:ascii="宋体" w:hAnsi="宋体" w:eastAsia="宋体" w:cs="宋体"/>
                <w:sz w:val="24"/>
                <w:szCs w:val="24"/>
              </w:rPr>
              <w:t>能力，并要求承诺支持</w:t>
            </w:r>
            <w:r>
              <w:rPr>
                <w:rFonts w:hint="eastAsia" w:ascii="宋体" w:hAnsi="宋体" w:eastAsia="宋体" w:cs="宋体"/>
                <w:sz w:val="24"/>
                <w:szCs w:val="24"/>
                <w:lang w:val="en-US" w:eastAsia="zh-CN"/>
              </w:rPr>
              <w:t>服务</w:t>
            </w:r>
            <w:r>
              <w:rPr>
                <w:rFonts w:hint="eastAsia" w:ascii="宋体" w:hAnsi="宋体" w:eastAsia="宋体" w:cs="宋体"/>
                <w:sz w:val="24"/>
                <w:szCs w:val="24"/>
              </w:rPr>
              <w:t>有效期间内该产品的原厂安全技术支撑、特征库授权升级等原厂售后服务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承诺函格式自拟</w:t>
            </w:r>
            <w:r>
              <w:rPr>
                <w:rFonts w:hint="eastAsia" w:ascii="宋体" w:hAnsi="宋体" w:eastAsia="宋体" w:cs="宋体"/>
                <w:sz w:val="24"/>
                <w:szCs w:val="24"/>
                <w:lang w:eastAsia="zh-CN"/>
              </w:rPr>
              <w:t>）</w:t>
            </w:r>
            <w:r>
              <w:rPr>
                <w:rFonts w:hint="eastAsia" w:ascii="宋体" w:hAnsi="宋体" w:eastAsia="宋体" w:cs="宋体"/>
                <w:sz w:val="24"/>
                <w:szCs w:val="24"/>
              </w:rPr>
              <w:t>。</w:t>
            </w:r>
          </w:p>
        </w:tc>
      </w:tr>
      <w:tr w14:paraId="36A0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tcBorders>
              <w:top w:val="single" w:color="auto" w:sz="4" w:space="0"/>
              <w:left w:val="single" w:color="auto" w:sz="12" w:space="0"/>
              <w:bottom w:val="single" w:color="auto" w:sz="4" w:space="0"/>
              <w:right w:val="single" w:color="auto" w:sz="12" w:space="0"/>
            </w:tcBorders>
            <w:noWrap w:val="0"/>
            <w:vAlign w:val="top"/>
          </w:tcPr>
          <w:p w14:paraId="20F8506B">
            <w:pPr>
              <w:snapToGrid w:val="0"/>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支持</w:t>
            </w:r>
            <w:r>
              <w:rPr>
                <w:rFonts w:hint="eastAsia" w:ascii="宋体" w:hAnsi="宋体" w:eastAsia="宋体" w:cs="宋体"/>
                <w:sz w:val="24"/>
                <w:szCs w:val="24"/>
                <w:lang w:val="en-US" w:eastAsia="zh-CN"/>
              </w:rPr>
              <w:t>对采购人《采购内容清单》里的安全设备</w:t>
            </w:r>
            <w:r>
              <w:rPr>
                <w:rFonts w:hint="eastAsia" w:ascii="宋体" w:hAnsi="宋体" w:eastAsia="宋体" w:cs="宋体"/>
                <w:sz w:val="24"/>
                <w:szCs w:val="24"/>
              </w:rPr>
              <w:t>进行</w:t>
            </w:r>
            <w:r>
              <w:rPr>
                <w:rFonts w:hint="eastAsia" w:ascii="宋体" w:hAnsi="宋体" w:eastAsia="宋体" w:cs="宋体"/>
                <w:sz w:val="24"/>
                <w:szCs w:val="24"/>
                <w:lang w:val="en-US" w:eastAsia="zh-CN"/>
              </w:rPr>
              <w:t>原厂维保对接，支持带特征库设备的进行原厂特征库无缝升级和策略</w:t>
            </w:r>
            <w:r>
              <w:rPr>
                <w:rFonts w:hint="eastAsia" w:ascii="宋体" w:hAnsi="宋体" w:eastAsia="宋体" w:cs="宋体"/>
                <w:sz w:val="24"/>
                <w:szCs w:val="24"/>
              </w:rPr>
              <w:t>响应</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供应商需合同签订后15个日历日内开展第一次原厂特征库升级服务</w:t>
            </w:r>
            <w:r>
              <w:rPr>
                <w:rFonts w:hint="eastAsia" w:ascii="宋体" w:hAnsi="宋体" w:eastAsia="宋体" w:cs="宋体"/>
                <w:sz w:val="24"/>
                <w:szCs w:val="24"/>
              </w:rPr>
              <w:t>，须提供书面承诺兼容性（格式自拟）并加盖</w:t>
            </w:r>
            <w:r>
              <w:rPr>
                <w:rFonts w:hint="eastAsia" w:ascii="宋体" w:hAnsi="宋体" w:eastAsia="宋体" w:cs="宋体"/>
                <w:sz w:val="24"/>
                <w:szCs w:val="24"/>
                <w:lang w:eastAsia="zh-CN"/>
              </w:rPr>
              <w:t>报价人</w:t>
            </w:r>
            <w:r>
              <w:rPr>
                <w:rFonts w:hint="eastAsia" w:ascii="宋体" w:hAnsi="宋体" w:eastAsia="宋体" w:cs="宋体"/>
                <w:sz w:val="24"/>
                <w:szCs w:val="24"/>
              </w:rPr>
              <w:t>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承诺函格式自拟</w:t>
            </w:r>
            <w:r>
              <w:rPr>
                <w:rFonts w:hint="eastAsia" w:ascii="宋体" w:hAnsi="宋体" w:eastAsia="宋体" w:cs="宋体"/>
                <w:sz w:val="24"/>
                <w:szCs w:val="24"/>
                <w:lang w:eastAsia="zh-CN"/>
              </w:rPr>
              <w:t>）。</w:t>
            </w:r>
          </w:p>
        </w:tc>
      </w:tr>
      <w:tr w14:paraId="26FF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tcBorders>
              <w:top w:val="single" w:color="auto" w:sz="4" w:space="0"/>
              <w:left w:val="single" w:color="auto" w:sz="12" w:space="0"/>
              <w:bottom w:val="single" w:color="auto" w:sz="12" w:space="0"/>
              <w:right w:val="single" w:color="auto" w:sz="12" w:space="0"/>
            </w:tcBorders>
            <w:noWrap w:val="0"/>
            <w:vAlign w:val="top"/>
          </w:tcPr>
          <w:p w14:paraId="22726D01">
            <w:pPr>
              <w:snapToGrid w:val="0"/>
              <w:ind w:firstLine="480"/>
              <w:rPr>
                <w:rFonts w:hint="eastAsia" w:ascii="宋体" w:hAnsi="宋体" w:eastAsia="宋体" w:cs="宋体"/>
                <w:sz w:val="24"/>
                <w:szCs w:val="24"/>
              </w:rPr>
            </w:pPr>
            <w:r>
              <w:rPr>
                <w:rFonts w:hint="eastAsia" w:ascii="宋体" w:hAnsi="宋体" w:eastAsia="宋体" w:cs="宋体"/>
                <w:sz w:val="24"/>
                <w:szCs w:val="24"/>
                <w:lang w:val="en-US" w:eastAsia="zh-CN"/>
              </w:rPr>
              <w:t>★3、采购人有权在成交后随时根据应答依据对服务提供的维保授权文件、工具、功能等进行检验，成交供应商需无条件配合；如发现响应文件存在任何与事实不符的应答，或者原本承诺“支持”、“满足”等，后经验证无法满足的，视为成交供应商虚假应标和违约，采购人有权一次性没收所有履约保证金、终止合同，并将情况报送采购主管部门。须提供书面承诺函（格式自拟），否则响应无效。</w:t>
            </w:r>
          </w:p>
        </w:tc>
      </w:tr>
    </w:tbl>
    <w:p w14:paraId="4D2BED29">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二、采购内容清单</w:t>
      </w:r>
    </w:p>
    <w:tbl>
      <w:tblPr>
        <w:tblStyle w:val="7"/>
        <w:tblW w:w="813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80"/>
        <w:gridCol w:w="2659"/>
        <w:gridCol w:w="1566"/>
        <w:gridCol w:w="3333"/>
      </w:tblGrid>
      <w:tr w14:paraId="0036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Header/>
          <w:tblCellSpacing w:w="0" w:type="dxa"/>
          <w:jc w:val="center"/>
        </w:trPr>
        <w:tc>
          <w:tcPr>
            <w:tcW w:w="580" w:type="dxa"/>
            <w:shd w:val="clear" w:color="auto" w:fill="FFFFFF"/>
            <w:tcMar>
              <w:top w:w="10" w:type="dxa"/>
              <w:left w:w="118" w:type="dxa"/>
              <w:bottom w:w="10" w:type="dxa"/>
              <w:right w:w="118" w:type="dxa"/>
            </w:tcMar>
            <w:vAlign w:val="center"/>
          </w:tcPr>
          <w:p w14:paraId="3DE558CD">
            <w:pPr>
              <w:snapToGrid w:val="0"/>
              <w:spacing w:before="156" w:beforeLines="50" w:after="156" w:afterLines="50" w:line="240" w:lineRule="auto"/>
              <w:ind w:left="0" w:leftChars="0" w:right="0" w:rightChars="0" w:firstLine="0" w:firstLineChars="0"/>
              <w:jc w:val="center"/>
              <w:rPr>
                <w:rFonts w:ascii="宋体" w:hAnsi="宋体" w:eastAsia="宋体" w:cs="宋体"/>
                <w:b/>
                <w:sz w:val="22"/>
                <w:szCs w:val="22"/>
              </w:rPr>
            </w:pPr>
            <w:r>
              <w:rPr>
                <w:rFonts w:ascii="宋体" w:hAnsi="宋体" w:eastAsia="宋体" w:cs="宋体"/>
                <w:b/>
                <w:sz w:val="22"/>
                <w:szCs w:val="22"/>
              </w:rPr>
              <w:t>序号</w:t>
            </w:r>
          </w:p>
        </w:tc>
        <w:tc>
          <w:tcPr>
            <w:tcW w:w="2659" w:type="dxa"/>
            <w:shd w:val="clear" w:color="auto" w:fill="FFFFFF"/>
            <w:tcMar>
              <w:top w:w="10" w:type="dxa"/>
              <w:left w:w="108" w:type="dxa"/>
              <w:bottom w:w="10" w:type="dxa"/>
              <w:right w:w="118" w:type="dxa"/>
            </w:tcMar>
            <w:vAlign w:val="center"/>
          </w:tcPr>
          <w:p w14:paraId="6153D012">
            <w:pPr>
              <w:snapToGrid w:val="0"/>
              <w:spacing w:before="156" w:beforeLines="50" w:after="156" w:afterLines="50" w:line="240" w:lineRule="auto"/>
              <w:ind w:left="0" w:leftChars="0" w:right="0" w:rightChars="0" w:firstLine="0" w:firstLineChars="0"/>
              <w:jc w:val="center"/>
              <w:rPr>
                <w:rFonts w:ascii="宋体" w:hAnsi="宋体" w:eastAsia="宋体" w:cs="宋体"/>
                <w:b/>
                <w:sz w:val="22"/>
                <w:szCs w:val="22"/>
              </w:rPr>
            </w:pPr>
            <w:r>
              <w:rPr>
                <w:rFonts w:ascii="宋体" w:hAnsi="宋体" w:eastAsia="宋体" w:cs="宋体"/>
                <w:b/>
                <w:sz w:val="22"/>
                <w:szCs w:val="22"/>
              </w:rPr>
              <w:t>产品名称</w:t>
            </w:r>
          </w:p>
        </w:tc>
        <w:tc>
          <w:tcPr>
            <w:tcW w:w="1566" w:type="dxa"/>
            <w:shd w:val="clear" w:color="auto" w:fill="FFFFFF"/>
            <w:tcMar>
              <w:top w:w="10" w:type="dxa"/>
              <w:left w:w="108" w:type="dxa"/>
              <w:bottom w:w="10" w:type="dxa"/>
              <w:right w:w="118" w:type="dxa"/>
            </w:tcMar>
            <w:vAlign w:val="center"/>
          </w:tcPr>
          <w:p w14:paraId="50A9B3A6">
            <w:pPr>
              <w:snapToGrid w:val="0"/>
              <w:spacing w:before="156" w:beforeLines="50" w:after="156" w:afterLines="50" w:line="240" w:lineRule="auto"/>
              <w:ind w:left="0" w:leftChars="0" w:right="0" w:rightChars="0" w:firstLine="0" w:firstLineChars="0"/>
              <w:jc w:val="center"/>
              <w:rPr>
                <w:rFonts w:ascii="宋体" w:hAnsi="宋体" w:eastAsia="宋体" w:cs="宋体"/>
                <w:b/>
                <w:sz w:val="22"/>
                <w:szCs w:val="22"/>
              </w:rPr>
            </w:pPr>
            <w:r>
              <w:rPr>
                <w:rFonts w:ascii="宋体" w:hAnsi="宋体" w:eastAsia="宋体" w:cs="宋体"/>
                <w:b/>
                <w:sz w:val="22"/>
                <w:szCs w:val="22"/>
              </w:rPr>
              <w:t>品牌型号</w:t>
            </w:r>
          </w:p>
        </w:tc>
        <w:tc>
          <w:tcPr>
            <w:tcW w:w="3333" w:type="dxa"/>
            <w:shd w:val="clear" w:color="auto" w:fill="FFFFFF"/>
            <w:tcMar>
              <w:top w:w="10" w:type="dxa"/>
              <w:left w:w="108" w:type="dxa"/>
              <w:bottom w:w="10" w:type="dxa"/>
              <w:right w:w="118" w:type="dxa"/>
            </w:tcMar>
            <w:vAlign w:val="center"/>
          </w:tcPr>
          <w:p w14:paraId="5B69F1EC">
            <w:pPr>
              <w:snapToGrid w:val="0"/>
              <w:spacing w:line="240" w:lineRule="auto"/>
              <w:ind w:left="0" w:leftChars="0" w:right="0" w:rightChars="0"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val="en-US" w:eastAsia="zh-CN"/>
              </w:rPr>
              <w:t>采购内容</w:t>
            </w:r>
          </w:p>
        </w:tc>
      </w:tr>
      <w:tr w14:paraId="2E5F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blCellSpacing w:w="0" w:type="dxa"/>
          <w:jc w:val="center"/>
        </w:trPr>
        <w:tc>
          <w:tcPr>
            <w:tcW w:w="580" w:type="dxa"/>
            <w:shd w:val="clear" w:color="auto" w:fill="FFFFFF"/>
            <w:tcMar>
              <w:top w:w="0" w:type="dxa"/>
              <w:left w:w="118" w:type="dxa"/>
              <w:bottom w:w="10" w:type="dxa"/>
              <w:right w:w="118" w:type="dxa"/>
            </w:tcMar>
            <w:vAlign w:val="center"/>
          </w:tcPr>
          <w:p w14:paraId="55874D9F">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ascii="宋体" w:hAnsi="宋体" w:eastAsia="宋体" w:cs="宋体"/>
                <w:sz w:val="22"/>
                <w:szCs w:val="22"/>
              </w:rPr>
              <w:t>1</w:t>
            </w:r>
          </w:p>
        </w:tc>
        <w:tc>
          <w:tcPr>
            <w:tcW w:w="2659" w:type="dxa"/>
            <w:shd w:val="clear" w:color="auto" w:fill="FFFFFF"/>
            <w:tcMar>
              <w:top w:w="0" w:type="dxa"/>
              <w:left w:w="108" w:type="dxa"/>
              <w:bottom w:w="10" w:type="dxa"/>
              <w:right w:w="118" w:type="dxa"/>
            </w:tcMar>
            <w:vAlign w:val="top"/>
          </w:tcPr>
          <w:p w14:paraId="05FEB7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内网盈高准入系统</w:t>
            </w:r>
          </w:p>
        </w:tc>
        <w:tc>
          <w:tcPr>
            <w:tcW w:w="1566" w:type="dxa"/>
            <w:shd w:val="clear" w:color="auto" w:fill="FFFFFF"/>
            <w:tcMar>
              <w:top w:w="0" w:type="dxa"/>
              <w:left w:w="108" w:type="dxa"/>
              <w:bottom w:w="10" w:type="dxa"/>
              <w:right w:w="118" w:type="dxa"/>
            </w:tcMar>
            <w:vAlign w:val="center"/>
          </w:tcPr>
          <w:p w14:paraId="6BF3315F">
            <w:pPr>
              <w:snapToGrid w:val="0"/>
              <w:spacing w:before="156" w:beforeLines="50" w:after="156" w:afterLines="50" w:line="240" w:lineRule="auto"/>
              <w:ind w:left="0" w:leftChars="0" w:right="0" w:rightChars="0" w:firstLine="0" w:firstLineChars="0"/>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ASM6837</w:t>
            </w:r>
          </w:p>
        </w:tc>
        <w:tc>
          <w:tcPr>
            <w:tcW w:w="3333" w:type="dxa"/>
            <w:shd w:val="clear" w:color="auto" w:fill="FFFFFF"/>
            <w:tcMar>
              <w:top w:w="0" w:type="dxa"/>
              <w:left w:w="108" w:type="dxa"/>
              <w:bottom w:w="10" w:type="dxa"/>
              <w:right w:w="118" w:type="dxa"/>
            </w:tcMar>
            <w:vAlign w:val="center"/>
          </w:tcPr>
          <w:p w14:paraId="77313E68">
            <w:pPr>
              <w:snapToGrid w:val="0"/>
              <w:spacing w:line="240" w:lineRule="auto"/>
              <w:ind w:left="0" w:leftChars="0" w:right="0" w:righ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设备维保服务3</w:t>
            </w:r>
            <w:r>
              <w:rPr>
                <w:rFonts w:ascii="宋体" w:hAnsi="宋体" w:eastAsia="宋体" w:cs="宋体"/>
                <w:sz w:val="24"/>
                <w:szCs w:val="24"/>
              </w:rPr>
              <w:t>年</w:t>
            </w:r>
          </w:p>
        </w:tc>
      </w:tr>
      <w:tr w14:paraId="5FE2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CellSpacing w:w="0" w:type="dxa"/>
          <w:jc w:val="center"/>
        </w:trPr>
        <w:tc>
          <w:tcPr>
            <w:tcW w:w="580" w:type="dxa"/>
            <w:shd w:val="clear" w:color="auto" w:fill="FFFFFF"/>
            <w:tcMar>
              <w:top w:w="0" w:type="dxa"/>
              <w:left w:w="118" w:type="dxa"/>
              <w:bottom w:w="10" w:type="dxa"/>
              <w:right w:w="118" w:type="dxa"/>
            </w:tcMar>
            <w:vAlign w:val="center"/>
          </w:tcPr>
          <w:p w14:paraId="4B7DCCA5">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ascii="宋体" w:hAnsi="宋体" w:eastAsia="宋体" w:cs="宋体"/>
                <w:sz w:val="22"/>
                <w:szCs w:val="22"/>
              </w:rPr>
              <w:t>2</w:t>
            </w:r>
          </w:p>
        </w:tc>
        <w:tc>
          <w:tcPr>
            <w:tcW w:w="2659" w:type="dxa"/>
            <w:shd w:val="clear" w:color="auto" w:fill="FFFFFF"/>
            <w:tcMar>
              <w:top w:w="0" w:type="dxa"/>
              <w:left w:w="108" w:type="dxa"/>
              <w:bottom w:w="10" w:type="dxa"/>
              <w:right w:w="118" w:type="dxa"/>
            </w:tcMar>
            <w:vAlign w:val="center"/>
          </w:tcPr>
          <w:p w14:paraId="50EBC1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CKEY动态认证系统</w:t>
            </w:r>
          </w:p>
        </w:tc>
        <w:tc>
          <w:tcPr>
            <w:tcW w:w="1566" w:type="dxa"/>
            <w:shd w:val="clear" w:color="auto" w:fill="FFFFFF"/>
            <w:tcMar>
              <w:top w:w="0" w:type="dxa"/>
              <w:left w:w="108" w:type="dxa"/>
              <w:bottom w:w="10" w:type="dxa"/>
              <w:right w:w="118" w:type="dxa"/>
            </w:tcMar>
            <w:vAlign w:val="center"/>
          </w:tcPr>
          <w:p w14:paraId="0D24A5EA">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hint="eastAsia" w:ascii="宋体" w:hAnsi="宋体" w:eastAsia="宋体" w:cs="宋体"/>
                <w:sz w:val="22"/>
                <w:szCs w:val="22"/>
                <w:lang w:val="en-US" w:eastAsia="zh-CN"/>
              </w:rPr>
              <w:t>CKEY DAS V1.0</w:t>
            </w:r>
          </w:p>
        </w:tc>
        <w:tc>
          <w:tcPr>
            <w:tcW w:w="3333" w:type="dxa"/>
            <w:shd w:val="clear" w:color="auto" w:fill="FFFFFF"/>
            <w:tcMar>
              <w:top w:w="0" w:type="dxa"/>
              <w:left w:w="108" w:type="dxa"/>
              <w:bottom w:w="10" w:type="dxa"/>
              <w:right w:w="118" w:type="dxa"/>
            </w:tcMar>
            <w:vAlign w:val="center"/>
          </w:tcPr>
          <w:p w14:paraId="1BA4EBBA">
            <w:pPr>
              <w:snapToGrid w:val="0"/>
              <w:spacing w:line="240" w:lineRule="auto"/>
              <w:ind w:left="0" w:leftChars="0" w:right="0" w:rightChars="0"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系统使用授权3</w:t>
            </w:r>
            <w:r>
              <w:rPr>
                <w:rFonts w:ascii="宋体" w:hAnsi="宋体" w:eastAsia="宋体" w:cs="宋体"/>
                <w:sz w:val="24"/>
                <w:szCs w:val="24"/>
              </w:rPr>
              <w:t>年</w:t>
            </w:r>
          </w:p>
        </w:tc>
      </w:tr>
      <w:tr w14:paraId="5527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CellSpacing w:w="0" w:type="dxa"/>
          <w:jc w:val="center"/>
        </w:trPr>
        <w:tc>
          <w:tcPr>
            <w:tcW w:w="580" w:type="dxa"/>
            <w:shd w:val="clear" w:color="auto" w:fill="FFFFFF"/>
            <w:tcMar>
              <w:top w:w="0" w:type="dxa"/>
              <w:left w:w="118" w:type="dxa"/>
              <w:bottom w:w="10" w:type="dxa"/>
              <w:right w:w="118" w:type="dxa"/>
            </w:tcMar>
            <w:vAlign w:val="center"/>
          </w:tcPr>
          <w:p w14:paraId="50C970F9">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ascii="宋体" w:hAnsi="宋体" w:eastAsia="宋体" w:cs="宋体"/>
                <w:sz w:val="22"/>
                <w:szCs w:val="22"/>
              </w:rPr>
              <w:t>3</w:t>
            </w:r>
          </w:p>
        </w:tc>
        <w:tc>
          <w:tcPr>
            <w:tcW w:w="2659" w:type="dxa"/>
            <w:shd w:val="clear" w:color="auto" w:fill="FFFFFF"/>
            <w:tcMar>
              <w:top w:w="0" w:type="dxa"/>
              <w:left w:w="108" w:type="dxa"/>
              <w:bottom w:w="10" w:type="dxa"/>
              <w:right w:w="118" w:type="dxa"/>
            </w:tcMar>
            <w:vAlign w:val="top"/>
          </w:tcPr>
          <w:p w14:paraId="35114E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sz w:val="22"/>
                <w:szCs w:val="22"/>
                <w:lang w:eastAsia="zh-CN"/>
              </w:rPr>
            </w:pPr>
            <w:r>
              <w:rPr>
                <w:rFonts w:hint="eastAsia" w:ascii="宋体" w:hAnsi="宋体" w:eastAsia="宋体" w:cs="宋体"/>
                <w:i w:val="0"/>
                <w:iCs w:val="0"/>
                <w:color w:val="000000"/>
                <w:kern w:val="0"/>
                <w:sz w:val="22"/>
                <w:szCs w:val="22"/>
                <w:u w:val="none"/>
                <w:lang w:val="en-US" w:eastAsia="zh-CN" w:bidi="ar"/>
              </w:rPr>
              <w:t>内网杀毒软件</w:t>
            </w:r>
          </w:p>
        </w:tc>
        <w:tc>
          <w:tcPr>
            <w:tcW w:w="1566" w:type="dxa"/>
            <w:shd w:val="clear" w:color="auto" w:fill="FFFFFF"/>
            <w:tcMar>
              <w:top w:w="0" w:type="dxa"/>
              <w:left w:w="108" w:type="dxa"/>
              <w:bottom w:w="10" w:type="dxa"/>
              <w:right w:w="118" w:type="dxa"/>
            </w:tcMar>
            <w:vAlign w:val="center"/>
          </w:tcPr>
          <w:p w14:paraId="3309217E">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hint="eastAsia" w:ascii="宋体" w:hAnsi="宋体" w:eastAsia="宋体" w:cs="宋体"/>
                <w:sz w:val="22"/>
                <w:szCs w:val="22"/>
                <w:lang w:val="en-US" w:eastAsia="zh-CN"/>
              </w:rPr>
              <w:t>天擎V6.0</w:t>
            </w:r>
          </w:p>
        </w:tc>
        <w:tc>
          <w:tcPr>
            <w:tcW w:w="3333" w:type="dxa"/>
            <w:shd w:val="clear" w:color="auto" w:fill="FFFFFF"/>
            <w:tcMar>
              <w:top w:w="0" w:type="dxa"/>
              <w:left w:w="108" w:type="dxa"/>
              <w:bottom w:w="10" w:type="dxa"/>
              <w:right w:w="118" w:type="dxa"/>
            </w:tcMar>
            <w:vAlign w:val="center"/>
          </w:tcPr>
          <w:p w14:paraId="6A045904">
            <w:pPr>
              <w:snapToGrid w:val="0"/>
              <w:spacing w:line="240" w:lineRule="auto"/>
              <w:ind w:left="0" w:leftChars="0" w:right="0" w:righ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系统特征库授权升级服务3</w:t>
            </w:r>
            <w:r>
              <w:rPr>
                <w:rFonts w:ascii="宋体" w:hAnsi="宋体" w:eastAsia="宋体" w:cs="宋体"/>
                <w:sz w:val="24"/>
                <w:szCs w:val="24"/>
              </w:rPr>
              <w:t>年</w:t>
            </w:r>
          </w:p>
        </w:tc>
      </w:tr>
      <w:tr w14:paraId="32A7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blCellSpacing w:w="0" w:type="dxa"/>
          <w:jc w:val="center"/>
        </w:trPr>
        <w:tc>
          <w:tcPr>
            <w:tcW w:w="580" w:type="dxa"/>
            <w:shd w:val="clear" w:color="auto" w:fill="FFFFFF"/>
            <w:tcMar>
              <w:top w:w="0" w:type="dxa"/>
              <w:left w:w="118" w:type="dxa"/>
              <w:bottom w:w="10" w:type="dxa"/>
              <w:right w:w="118" w:type="dxa"/>
            </w:tcMar>
            <w:vAlign w:val="center"/>
          </w:tcPr>
          <w:p w14:paraId="4580CCEA">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ascii="宋体" w:hAnsi="宋体" w:eastAsia="宋体" w:cs="宋体"/>
                <w:sz w:val="22"/>
                <w:szCs w:val="22"/>
              </w:rPr>
              <w:t>4</w:t>
            </w:r>
          </w:p>
        </w:tc>
        <w:tc>
          <w:tcPr>
            <w:tcW w:w="2659" w:type="dxa"/>
            <w:shd w:val="clear" w:color="auto" w:fill="FFFFFF"/>
            <w:tcMar>
              <w:top w:w="0" w:type="dxa"/>
              <w:left w:w="108" w:type="dxa"/>
              <w:bottom w:w="10" w:type="dxa"/>
              <w:right w:w="118" w:type="dxa"/>
            </w:tcMar>
            <w:vAlign w:val="top"/>
          </w:tcPr>
          <w:p w14:paraId="6181DF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sz w:val="22"/>
                <w:szCs w:val="22"/>
                <w:lang w:eastAsia="zh-CN"/>
              </w:rPr>
            </w:pPr>
            <w:r>
              <w:rPr>
                <w:rFonts w:hint="eastAsia" w:ascii="宋体" w:hAnsi="宋体" w:eastAsia="宋体" w:cs="宋体"/>
                <w:i w:val="0"/>
                <w:iCs w:val="0"/>
                <w:color w:val="000000"/>
                <w:kern w:val="0"/>
                <w:sz w:val="22"/>
                <w:szCs w:val="22"/>
                <w:u w:val="none"/>
                <w:lang w:val="en-US" w:eastAsia="zh-CN" w:bidi="ar"/>
              </w:rPr>
              <w:t>上网行为管理系统</w:t>
            </w:r>
          </w:p>
        </w:tc>
        <w:tc>
          <w:tcPr>
            <w:tcW w:w="1566" w:type="dxa"/>
            <w:shd w:val="clear" w:color="auto" w:fill="FFFFFF"/>
            <w:tcMar>
              <w:top w:w="0" w:type="dxa"/>
              <w:left w:w="108" w:type="dxa"/>
              <w:bottom w:w="10" w:type="dxa"/>
              <w:right w:w="118" w:type="dxa"/>
            </w:tcMar>
            <w:vAlign w:val="center"/>
          </w:tcPr>
          <w:p w14:paraId="39834764">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hint="eastAsia" w:ascii="宋体" w:hAnsi="宋体" w:eastAsia="宋体" w:cs="宋体"/>
                <w:sz w:val="22"/>
                <w:szCs w:val="22"/>
                <w:lang w:val="en-US" w:eastAsia="zh-CN"/>
              </w:rPr>
              <w:t>NT3200-45-HW</w:t>
            </w:r>
          </w:p>
        </w:tc>
        <w:tc>
          <w:tcPr>
            <w:tcW w:w="3333" w:type="dxa"/>
            <w:shd w:val="clear" w:color="auto" w:fill="FFFFFF"/>
            <w:tcMar>
              <w:top w:w="0" w:type="dxa"/>
              <w:left w:w="108" w:type="dxa"/>
              <w:bottom w:w="10" w:type="dxa"/>
              <w:right w:w="118" w:type="dxa"/>
            </w:tcMar>
            <w:vAlign w:val="center"/>
          </w:tcPr>
          <w:p w14:paraId="556B63E3">
            <w:pPr>
              <w:snapToGrid w:val="0"/>
              <w:spacing w:line="240" w:lineRule="auto"/>
              <w:ind w:left="0" w:leftChars="0" w:right="0" w:righ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系统特征库授权升级服务3</w:t>
            </w:r>
            <w:r>
              <w:rPr>
                <w:rFonts w:ascii="宋体" w:hAnsi="宋体" w:eastAsia="宋体" w:cs="宋体"/>
                <w:sz w:val="24"/>
                <w:szCs w:val="24"/>
              </w:rPr>
              <w:t>年</w:t>
            </w:r>
          </w:p>
        </w:tc>
      </w:tr>
      <w:tr w14:paraId="71AF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blCellSpacing w:w="0" w:type="dxa"/>
          <w:jc w:val="center"/>
        </w:trPr>
        <w:tc>
          <w:tcPr>
            <w:tcW w:w="580" w:type="dxa"/>
            <w:shd w:val="clear" w:color="auto" w:fill="FFFFFF"/>
            <w:tcMar>
              <w:top w:w="0" w:type="dxa"/>
              <w:left w:w="118" w:type="dxa"/>
              <w:bottom w:w="10" w:type="dxa"/>
              <w:right w:w="118" w:type="dxa"/>
            </w:tcMar>
            <w:vAlign w:val="center"/>
          </w:tcPr>
          <w:p w14:paraId="71266BE2">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ascii="宋体" w:hAnsi="宋体" w:eastAsia="宋体" w:cs="宋体"/>
                <w:sz w:val="22"/>
                <w:szCs w:val="22"/>
              </w:rPr>
              <w:t>5</w:t>
            </w:r>
          </w:p>
        </w:tc>
        <w:tc>
          <w:tcPr>
            <w:tcW w:w="2659" w:type="dxa"/>
            <w:shd w:val="clear" w:color="auto" w:fill="FFFFFF"/>
            <w:tcMar>
              <w:top w:w="0" w:type="dxa"/>
              <w:left w:w="108" w:type="dxa"/>
              <w:bottom w:w="10" w:type="dxa"/>
              <w:right w:w="118" w:type="dxa"/>
            </w:tcMar>
            <w:vAlign w:val="top"/>
          </w:tcPr>
          <w:p w14:paraId="0846F5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安全管理网闸（安全隔离与信息交换系统）</w:t>
            </w:r>
          </w:p>
        </w:tc>
        <w:tc>
          <w:tcPr>
            <w:tcW w:w="1566" w:type="dxa"/>
            <w:shd w:val="clear" w:color="auto" w:fill="FFFFFF"/>
            <w:tcMar>
              <w:top w:w="0" w:type="dxa"/>
              <w:left w:w="108" w:type="dxa"/>
              <w:bottom w:w="10" w:type="dxa"/>
              <w:right w:w="118" w:type="dxa"/>
            </w:tcMar>
            <w:vAlign w:val="center"/>
          </w:tcPr>
          <w:p w14:paraId="4F6DFB13">
            <w:pPr>
              <w:snapToGrid w:val="0"/>
              <w:spacing w:before="156" w:beforeLines="50" w:after="156" w:afterLines="50" w:line="240" w:lineRule="auto"/>
              <w:ind w:left="0" w:leftChars="0" w:right="0" w:rightChars="0" w:firstLine="0" w:firstLineChars="0"/>
              <w:jc w:val="center"/>
              <w:rPr>
                <w:rFonts w:ascii="宋体" w:hAnsi="宋体" w:eastAsia="宋体" w:cs="宋体"/>
                <w:sz w:val="22"/>
                <w:szCs w:val="22"/>
              </w:rPr>
            </w:pPr>
            <w:r>
              <w:rPr>
                <w:rFonts w:hint="eastAsia" w:ascii="宋体" w:hAnsi="宋体" w:eastAsia="宋体" w:cs="宋体"/>
                <w:sz w:val="22"/>
                <w:szCs w:val="22"/>
                <w:lang w:val="en-US" w:eastAsia="zh-CN"/>
              </w:rPr>
              <w:t>G9000-TV20M</w:t>
            </w:r>
          </w:p>
        </w:tc>
        <w:tc>
          <w:tcPr>
            <w:tcW w:w="3333" w:type="dxa"/>
            <w:shd w:val="clear" w:color="auto" w:fill="FFFFFF"/>
            <w:tcMar>
              <w:top w:w="0" w:type="dxa"/>
              <w:left w:w="108" w:type="dxa"/>
              <w:bottom w:w="10" w:type="dxa"/>
              <w:right w:w="118" w:type="dxa"/>
            </w:tcMar>
            <w:vAlign w:val="center"/>
          </w:tcPr>
          <w:p w14:paraId="24886407">
            <w:pPr>
              <w:snapToGrid w:val="0"/>
              <w:spacing w:line="240" w:lineRule="auto"/>
              <w:ind w:left="0" w:leftChars="0" w:right="0" w:righ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设备维保服务3</w:t>
            </w:r>
            <w:r>
              <w:rPr>
                <w:rFonts w:ascii="宋体" w:hAnsi="宋体" w:eastAsia="宋体" w:cs="宋体"/>
                <w:sz w:val="24"/>
                <w:szCs w:val="24"/>
              </w:rPr>
              <w:t>年</w:t>
            </w:r>
          </w:p>
        </w:tc>
      </w:tr>
    </w:tbl>
    <w:p w14:paraId="7095958C">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三、其他要求</w:t>
      </w:r>
    </w:p>
    <w:p w14:paraId="6305B489">
      <w:pPr>
        <w:ind w:firstLine="480"/>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供应商应在服务有效期内，为采购人提供服务团队，其中</w:t>
      </w:r>
      <w:r>
        <w:rPr>
          <w:rFonts w:hint="eastAsia" w:ascii="宋体" w:hAnsi="宋体" w:eastAsia="宋体" w:cs="宋体"/>
          <w:sz w:val="24"/>
          <w:szCs w:val="24"/>
          <w:lang w:val="en-US" w:eastAsia="zh-CN"/>
        </w:rPr>
        <w:t>含</w:t>
      </w:r>
      <w:r>
        <w:rPr>
          <w:rFonts w:ascii="宋体" w:hAnsi="宋体" w:eastAsia="宋体" w:cs="宋体"/>
          <w:sz w:val="24"/>
          <w:szCs w:val="24"/>
        </w:rPr>
        <w:t>项目经理1名。</w:t>
      </w:r>
    </w:p>
    <w:p w14:paraId="4786AB98">
      <w:pPr>
        <w:ind w:firstLine="480"/>
        <w:rPr>
          <w:rFonts w:ascii="宋体" w:hAnsi="宋体" w:eastAsia="宋体" w:cs="宋体"/>
          <w:sz w:val="24"/>
          <w:szCs w:val="24"/>
        </w:rPr>
      </w:pPr>
      <w:r>
        <w:rPr>
          <w:rFonts w:hint="eastAsia" w:ascii="宋体" w:hAnsi="宋体" w:eastAsia="宋体" w:cs="宋体"/>
          <w:sz w:val="24"/>
          <w:szCs w:val="24"/>
          <w:lang w:val="en-US" w:eastAsia="zh-CN"/>
        </w:rPr>
        <w:t>2、服务响应机制：供应商须提供7×24小时全天候技术支持服务，确保全年无间断响应。设备出现故障时，须在1小时内通过电话、远程等方式响应，并提供7×24小时技术支持热线，保证30分钟内电话接通，及时提供初步解决方案。</w:t>
      </w:r>
    </w:p>
    <w:p w14:paraId="1E5DBF9D">
      <w:pPr>
        <w:ind w:firstLine="480"/>
        <w:rPr>
          <w:rFonts w:ascii="宋体" w:hAnsi="宋体" w:eastAsia="宋体" w:cs="宋体"/>
          <w:sz w:val="24"/>
          <w:szCs w:val="24"/>
        </w:rPr>
      </w:pPr>
      <w:r>
        <w:rPr>
          <w:rFonts w:hint="eastAsia" w:ascii="宋体" w:hAnsi="宋体" w:eastAsia="宋体" w:cs="宋体"/>
          <w:sz w:val="24"/>
          <w:szCs w:val="24"/>
          <w:lang w:val="en-US" w:eastAsia="zh-CN"/>
        </w:rPr>
        <w:t>3、现场支持时效：对于远程无法解决的故障，供应商需根据故障等级提供相应的现场支持服务。一级故障（导致核心业务系统瘫痪、重大安全风险等）须在2小时内到达医院现场进行处理；二级故障（影响部分业务系统运行、存在一定安全隐患等）须在4小时内到达现场；三级故障（不影响核心业务运行的一般性故障）须在8小时内到达现场 。</w:t>
      </w:r>
    </w:p>
    <w:p w14:paraId="7D04E7ED">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故障修复与备件更换服务：到达现场后，常规故障应在2小时内完成修复，若涉及核心安全设备或复杂故障，需在24小时内解决。供应商需支持重大故障设备备件替换，储备本次维保范围内设备所需的关键备件，确保故障设备的关键部件能够及时更换。如经技术评估确认设备无法修复，维保方需在48小时内提供同型号或性能不低于原设备的备用机，确保医院网络安全防护体系持续有效运行，最大限度降低对医疗业务系统正常运转的影响。</w:t>
      </w:r>
    </w:p>
    <w:p w14:paraId="35EA9932">
      <w:pPr>
        <w:ind w:firstLine="48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四、商务条件</w:t>
      </w:r>
    </w:p>
    <w:p w14:paraId="6B90ACA0">
      <w:pPr>
        <w:ind w:firstLine="480"/>
        <w:rPr>
          <w:rFonts w:ascii="宋体" w:hAnsi="宋体" w:eastAsia="宋体" w:cs="宋体"/>
          <w:sz w:val="24"/>
          <w:szCs w:val="24"/>
        </w:rPr>
      </w:pPr>
      <w:r>
        <w:rPr>
          <w:rFonts w:ascii="宋体" w:hAnsi="宋体" w:eastAsia="宋体" w:cs="宋体"/>
          <w:sz w:val="24"/>
          <w:szCs w:val="24"/>
        </w:rPr>
        <w:t>（以“★”标示的内容为不允许负偏离的实质性要求）</w:t>
      </w:r>
    </w:p>
    <w:p w14:paraId="561613A7">
      <w:pPr>
        <w:ind w:firstLine="480"/>
        <w:rPr>
          <w:rFonts w:ascii="宋体" w:hAnsi="宋体" w:eastAsia="宋体" w:cs="宋体"/>
          <w:sz w:val="24"/>
          <w:szCs w:val="24"/>
        </w:rPr>
      </w:pPr>
    </w:p>
    <w:p w14:paraId="6CBA02C6">
      <w:pPr>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ZTY5MDFmZmY4M2FjOGY4ZjExZmM0MjViY2NjYzQifQ=="/>
  </w:docVars>
  <w:rsids>
    <w:rsidRoot w:val="777C19FC"/>
    <w:rsid w:val="62B15864"/>
    <w:rsid w:val="777C1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样式1"/>
    <w:basedOn w:val="1"/>
    <w:qFormat/>
    <w:uiPriority w:val="0"/>
    <w:pPr>
      <w:tabs>
        <w:tab w:val="left" w:pos="0"/>
      </w:tabs>
      <w:spacing w:line="560" w:lineRule="exact"/>
      <w:ind w:firstLine="640" w:firstLineChars="200"/>
      <w:jc w:val="left"/>
    </w:pPr>
    <w:rPr>
      <w:rFonts w:hint="eastAsia" w:ascii="仿宋_GB2312" w:hAnsi="仿宋_GB2312" w:eastAsia="仿宋_GB2312" w:cs="Times New Roman"/>
      <w:color w:val="000000" w:themeColor="text1"/>
      <w:kern w:val="0"/>
      <w:sz w:val="32"/>
      <w:szCs w:val="32"/>
      <w:lang w:val="zh-CN"/>
      <w14:textFill>
        <w14:solidFill>
          <w14:schemeClr w14:val="tx1"/>
        </w14:solidFill>
      </w14:textFill>
    </w:rPr>
  </w:style>
  <w:style w:type="paragraph" w:styleId="6">
    <w:name w:val="List Paragraph"/>
    <w:basedOn w:val="1"/>
    <w:qFormat/>
    <w:uiPriority w:val="34"/>
    <w:pPr>
      <w:spacing w:before="50" w:beforeLines="50" w:after="50" w:afterLines="50"/>
    </w:pPr>
    <w:rPr>
      <w:rFonts w:ascii="黑体" w:hAnsi="黑体"/>
    </w:rPr>
  </w:style>
  <w:style w:type="table" w:customStyle="1" w:styleId="7">
    <w:name w:val="any Table"/>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2026-06-11T01:20:00Z</dcterms:created>
  <dc:creator>信息科</dc:creator>
  <cp:lastModifiedBy>信息科</cp:lastModifiedBy>
  <dcterms:modified xsi:type="dcterms:W3CDTF">2026-06-11T01:23:21Z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6C1905ECF72D4570826B51178899A606_11</vt:lpwstr>
  </property>
</Properties>
</file>