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AA71C">
      <w:pPr>
        <w:spacing w:line="360" w:lineRule="auto"/>
        <w:ind w:firstLine="562" w:firstLineChars="200"/>
        <w:jc w:val="center"/>
        <w:rPr>
          <w:rFonts w:hint="default" w:ascii="宋体" w:hAnsi="宋体" w:eastAsia="宋体" w:cs="宋体"/>
          <w:b/>
          <w:bCs/>
          <w:sz w:val="28"/>
          <w:szCs w:val="28"/>
          <w:lang w:val="en-US" w:eastAsia="zh-CN"/>
        </w:rPr>
      </w:pPr>
      <w:bookmarkStart w:id="0" w:name="OLE_LINK1"/>
      <w:r>
        <w:rPr>
          <w:rFonts w:hint="eastAsia" w:ascii="宋体" w:hAnsi="宋体" w:eastAsia="宋体" w:cs="宋体"/>
          <w:b/>
          <w:bCs/>
          <w:sz w:val="28"/>
          <w:szCs w:val="28"/>
        </w:rPr>
        <w:t>内网杀毒</w:t>
      </w:r>
      <w:r>
        <w:rPr>
          <w:rFonts w:hint="eastAsia" w:ascii="宋体" w:hAnsi="宋体" w:eastAsia="宋体" w:cs="宋体"/>
          <w:b/>
          <w:bCs/>
          <w:sz w:val="28"/>
          <w:szCs w:val="28"/>
          <w:lang w:val="en-US" w:eastAsia="zh-CN"/>
        </w:rPr>
        <w:t>及</w:t>
      </w:r>
      <w:r>
        <w:rPr>
          <w:rFonts w:hint="eastAsia" w:ascii="宋体" w:hAnsi="宋体" w:eastAsia="宋体" w:cs="宋体"/>
          <w:b/>
          <w:bCs/>
          <w:sz w:val="28"/>
          <w:szCs w:val="28"/>
        </w:rPr>
        <w:t>准入系统扩容</w:t>
      </w:r>
      <w:r>
        <w:rPr>
          <w:rFonts w:hint="eastAsia" w:ascii="宋体" w:hAnsi="宋体" w:eastAsia="宋体" w:cs="宋体"/>
          <w:b/>
          <w:bCs/>
          <w:sz w:val="28"/>
          <w:szCs w:val="28"/>
          <w:lang w:val="en-US" w:eastAsia="zh-CN"/>
        </w:rPr>
        <w:t>服务技术参数</w:t>
      </w:r>
      <w:bookmarkEnd w:id="0"/>
    </w:p>
    <w:p w14:paraId="37BB6423">
      <w:pPr>
        <w:spacing w:line="360" w:lineRule="auto"/>
        <w:ind w:firstLine="480" w:firstLineChars="200"/>
        <w:rPr>
          <w:rFonts w:hint="eastAsia" w:ascii="宋体" w:hAnsi="宋体" w:eastAsia="宋体" w:cs="宋体"/>
          <w:sz w:val="24"/>
        </w:rPr>
      </w:pPr>
      <w:r>
        <w:rPr>
          <w:rFonts w:hint="eastAsia" w:ascii="宋体" w:hAnsi="宋体" w:eastAsia="宋体" w:cs="宋体"/>
          <w:sz w:val="24"/>
        </w:rPr>
        <w:t>为保障我院能够满足自身终端网络安全防护的需求，同时符合国家关于等级保护和相关网络安全法律法规要求，</w:t>
      </w:r>
      <w:r>
        <w:rPr>
          <w:rFonts w:hint="eastAsia" w:ascii="宋体" w:hAnsi="宋体" w:eastAsia="宋体" w:cs="宋体"/>
          <w:sz w:val="24"/>
          <w:lang w:val="en-US" w:eastAsia="zh-CN"/>
        </w:rPr>
        <w:t>已经</w:t>
      </w:r>
      <w:r>
        <w:rPr>
          <w:rFonts w:hint="eastAsia" w:ascii="宋体" w:hAnsi="宋体" w:eastAsia="宋体" w:cs="宋体"/>
          <w:sz w:val="24"/>
        </w:rPr>
        <w:t>规划并建设了终端主机病毒防护部署（杀毒软件）</w:t>
      </w:r>
      <w:r>
        <w:rPr>
          <w:rFonts w:hint="eastAsia" w:ascii="宋体" w:hAnsi="宋体" w:eastAsia="宋体" w:cs="宋体"/>
          <w:sz w:val="24"/>
          <w:lang w:val="en-US" w:eastAsia="zh-CN"/>
        </w:rPr>
        <w:t>以及</w:t>
      </w:r>
      <w:r>
        <w:rPr>
          <w:rFonts w:hint="eastAsia" w:ascii="宋体" w:hAnsi="宋体" w:eastAsia="宋体" w:cs="宋体"/>
          <w:sz w:val="24"/>
        </w:rPr>
        <w:t>入网合规安全管控建设部署（准入系统）。随着医院的信息化发展，原本采购的授权数量已经不足，需要扩容部署来满足现有终端主机系统的安全防护需求，分别如下：</w:t>
      </w:r>
      <w:bookmarkStart w:id="1" w:name="_GoBack"/>
      <w:bookmarkEnd w:id="1"/>
    </w:p>
    <w:p w14:paraId="5CEA7342">
      <w:pPr>
        <w:numPr>
          <w:ilvl w:val="0"/>
          <w:numId w:val="1"/>
        </w:numPr>
        <w:spacing w:before="156" w:beforeLines="50" w:after="156" w:afterLines="50"/>
        <w:ind w:firstLine="480"/>
        <w:rPr>
          <w:rFonts w:hint="eastAsia" w:ascii="宋体" w:hAnsi="宋体" w:eastAsia="宋体" w:cs="宋体"/>
          <w:kern w:val="0"/>
          <w:sz w:val="24"/>
          <w:szCs w:val="24"/>
        </w:rPr>
      </w:pPr>
      <w:r>
        <w:rPr>
          <w:rFonts w:hint="eastAsia" w:ascii="宋体" w:hAnsi="宋体" w:eastAsia="宋体" w:cs="宋体"/>
          <w:kern w:val="0"/>
          <w:sz w:val="24"/>
          <w:szCs w:val="24"/>
        </w:rPr>
        <w:t>在现有杀毒软件系统基础上</w:t>
      </w:r>
      <w:r>
        <w:rPr>
          <w:rFonts w:hint="eastAsia" w:ascii="宋体" w:hAnsi="宋体" w:eastAsia="宋体" w:cs="宋体"/>
          <w:b/>
          <w:bCs/>
          <w:kern w:val="0"/>
          <w:sz w:val="24"/>
          <w:szCs w:val="24"/>
        </w:rPr>
        <w:t>新增</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00点</w:t>
      </w:r>
      <w:r>
        <w:rPr>
          <w:rFonts w:hint="eastAsia" w:ascii="宋体" w:hAnsi="宋体" w:eastAsia="宋体" w:cs="宋体"/>
          <w:kern w:val="0"/>
          <w:sz w:val="24"/>
          <w:szCs w:val="24"/>
        </w:rPr>
        <w:t>PC终端安全授权</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rPr>
        <w:t>年</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授权起始日期按安装完成后验收合格之日算起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，功能需与现有的一致，支持:防病毒功能+补丁+运维管控，支持WindowsXP/VISTA/WIN7/WIN8/WIN10，可扩展其它操作系统平台和其它功能。Windows 服务器补丁管理功能，支持对全网终端系统漏洞发现、补丁智能修复强制修复等、蓝屏修复、补丁分发流量控制、客户端 P2P 补丁分发加速等功能。</w:t>
      </w:r>
    </w:p>
    <w:p w14:paraId="0BE22D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杀毒软件应支持如下功能：</w:t>
      </w:r>
    </w:p>
    <w:p w14:paraId="32648DBB">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PC终端安全客户端</w:t>
      </w:r>
      <w:r>
        <w:rPr>
          <w:rFonts w:hint="eastAsia" w:ascii="宋体" w:hAnsi="宋体" w:eastAsia="宋体" w:cs="宋体"/>
          <w:sz w:val="24"/>
          <w:szCs w:val="24"/>
          <w:lang w:val="en-US" w:eastAsia="zh-CN"/>
        </w:rPr>
        <w:t>本次</w:t>
      </w:r>
      <w:r>
        <w:rPr>
          <w:rFonts w:hint="eastAsia" w:ascii="宋体" w:hAnsi="宋体" w:eastAsia="宋体" w:cs="宋体"/>
          <w:sz w:val="24"/>
          <w:szCs w:val="24"/>
        </w:rPr>
        <w:t>授权</w:t>
      </w:r>
      <w:r>
        <w:rPr>
          <w:rFonts w:hint="eastAsia" w:ascii="宋体" w:hAnsi="宋体" w:eastAsia="宋体" w:cs="宋体"/>
          <w:sz w:val="24"/>
          <w:szCs w:val="24"/>
          <w:lang w:val="en-US" w:eastAsia="zh-CN"/>
        </w:rPr>
        <w:t>200个，与原先汇总合计满足</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00个</w:t>
      </w:r>
      <w:r>
        <w:rPr>
          <w:rFonts w:hint="eastAsia" w:ascii="宋体" w:hAnsi="宋体" w:eastAsia="宋体" w:cs="宋体"/>
          <w:sz w:val="24"/>
          <w:szCs w:val="24"/>
          <w:lang w:val="en-US" w:eastAsia="zh-CN"/>
        </w:rPr>
        <w:t>PC终端安全客户端授权。本次授权的200点安全客户端</w:t>
      </w:r>
      <w:r>
        <w:rPr>
          <w:rFonts w:hint="eastAsia" w:ascii="宋体" w:hAnsi="宋体" w:eastAsia="宋体" w:cs="宋体"/>
          <w:sz w:val="24"/>
          <w:szCs w:val="24"/>
        </w:rPr>
        <w:t>含</w:t>
      </w:r>
      <w:r>
        <w:rPr>
          <w:rFonts w:hint="eastAsia" w:ascii="宋体" w:hAnsi="宋体" w:eastAsia="宋体" w:cs="宋体"/>
          <w:sz w:val="24"/>
          <w:szCs w:val="24"/>
          <w:lang w:val="en-US" w:eastAsia="zh-CN"/>
        </w:rPr>
        <w:t>三</w:t>
      </w:r>
      <w:r>
        <w:rPr>
          <w:rFonts w:hint="eastAsia" w:ascii="宋体" w:hAnsi="宋体" w:eastAsia="宋体" w:cs="宋体"/>
          <w:sz w:val="24"/>
          <w:szCs w:val="24"/>
        </w:rPr>
        <w:t>年软件更新服务，含</w:t>
      </w:r>
      <w:r>
        <w:rPr>
          <w:rFonts w:hint="eastAsia" w:ascii="宋体" w:hAnsi="宋体" w:eastAsia="宋体" w:cs="宋体"/>
          <w:sz w:val="24"/>
          <w:szCs w:val="24"/>
          <w:lang w:val="en-US" w:eastAsia="zh-CN"/>
        </w:rPr>
        <w:t>三</w:t>
      </w:r>
      <w:r>
        <w:rPr>
          <w:rFonts w:hint="eastAsia" w:ascii="宋体" w:hAnsi="宋体" w:eastAsia="宋体" w:cs="宋体"/>
          <w:sz w:val="24"/>
          <w:szCs w:val="24"/>
        </w:rPr>
        <w:t>年防病毒、补丁管理、运维管控功能授权。</w:t>
      </w:r>
    </w:p>
    <w:p w14:paraId="530575F5">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支持网页访问部署、离线安装包部署、域推送等部署方式，可自定义部署通知邮件及部署通知公告。</w:t>
      </w:r>
    </w:p>
    <w:p w14:paraId="5CAD0D41">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中标麒麟/银河麒麟/普华/红旗桌面操作系统。</w:t>
      </w:r>
    </w:p>
    <w:p w14:paraId="79A62814">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支持插件清理，按插件显示展示全网存在的插件和涉及的终端，可清理指定或全部插件、加入信任；按终端显示展示全网每个终端存在的插件，可清理插件。</w:t>
      </w:r>
    </w:p>
    <w:p w14:paraId="4A1C8DB3">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支持温度检测以折线图形式实时展示CPU、主板、显卡、硬盘的温度变化。</w:t>
      </w:r>
    </w:p>
    <w:p w14:paraId="684E5755">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支持自动发现设备的IP-MAC地址的绑定，支持自有方式远程桌面协助处理终端问题。</w:t>
      </w:r>
    </w:p>
    <w:p w14:paraId="2339E580">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支持浏览器防护，对篡改浏览器设置的恶意行为进行有效防御，并可以锁定默认浏览器设置文件被加入白名单，客户端不再查杀，加入黑名单，客户端不可执行此文件。 </w:t>
      </w:r>
    </w:p>
    <w:p w14:paraId="4F349D2A">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支持手工导入MD5+SHA1的黑白名单方式，支持txt批量导入方式。</w:t>
      </w:r>
    </w:p>
    <w:p w14:paraId="071968D4">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要求支持通过数字签名或者文件名的方式分别显示文件，方便管理员管理全网终端上报的文件。 </w:t>
      </w:r>
    </w:p>
    <w:p w14:paraId="18475E42">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支持控制中心防暴力破解，采用手机APP动态令牌方式进行二次认证，针对控制中心高危操作支持动态口令验证，要求令牌APP自主研发。</w:t>
      </w:r>
    </w:p>
    <w:p w14:paraId="42F969BB">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对敲诈者病毒提供专有的防护功能。</w:t>
      </w:r>
    </w:p>
    <w:p w14:paraId="791D2E26">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要求支持文件解压缩病毒查杀，支持对zip、rar、7z等多种格式的压缩文件查杀能力。 </w:t>
      </w:r>
    </w:p>
    <w:p w14:paraId="5DDFB113">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要求支持客户端升级时对网络带宽的保护，可以设定服务器端最大升级带宽。</w:t>
      </w:r>
    </w:p>
    <w:p w14:paraId="782F355B">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终端支持智能屏蔽过期补丁、与操作系统不兼容的补丁，可以查看或搜索系统已安装的全部补丁。</w:t>
      </w:r>
    </w:p>
    <w:p w14:paraId="17FC548A">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支持统计指定分组或全网的终端扫描数、终端管理软件安装数、未安装终端数及安装率。</w:t>
      </w:r>
    </w:p>
    <w:p w14:paraId="0F34DE4A">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支持扫描发现文件遭破坏或被感染时触发修复流程，修复通过公有云下载正常文件替换遭破坏的文件。</w:t>
      </w:r>
    </w:p>
    <w:p w14:paraId="577E0CA8">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产品具备漏洞集中修复，强制修复，自动修复；具备蓝屏修复功能。</w:t>
      </w:r>
    </w:p>
    <w:p w14:paraId="0349F221">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产品具备漏洞集中修复过程中的流量控制和保证带宽,补丁分发支持服务端带宽限流与客户端P2P补丁分发加速，有效节省外网带宽资源。</w:t>
      </w:r>
    </w:p>
    <w:p w14:paraId="70E0E06E">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简化补丁运维工作，支持补丁灰度发布，支持设置对特定分组优先进行补丁分发，自定义测试一段时间后再全网升级，实现补丁自动化运维。</w:t>
      </w:r>
    </w:p>
    <w:p w14:paraId="6622F2DB">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支持终端安全检查失败本地ACL隔离机制，可基于协议、特定端口、端口范围、特定地址、IP范围、URL来控制终端访问权限，从而无需操作交换机达到终端网络控制目的，实现细粒度的访问控制管理，支持不同终端修复区域定义。</w:t>
      </w:r>
    </w:p>
    <w:p w14:paraId="4BB905E1">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支持AD、LDAP、Email、HTTP、本地等多种方式认证源统一认证管理。</w:t>
      </w:r>
    </w:p>
    <w:p w14:paraId="128FF666">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针对服务器系统，开启远程登录保护功能，加强对黑客远程弱口令扫描防护。</w:t>
      </w:r>
    </w:p>
    <w:p w14:paraId="73986357">
      <w:pPr>
        <w:numPr>
          <w:ilvl w:val="0"/>
          <w:numId w:val="2"/>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支持对windows/Linux/国产操作系统终端的文件黑白名单和信任区在服务端统一管理。</w:t>
      </w:r>
    </w:p>
    <w:p w14:paraId="7411BD91">
      <w:pPr>
        <w:spacing w:line="360" w:lineRule="auto"/>
        <w:ind w:firstLine="480" w:firstLineChars="200"/>
        <w:rPr>
          <w:rFonts w:hint="eastAsia" w:ascii="宋体" w:hAnsi="宋体" w:eastAsia="宋体" w:cs="宋体"/>
          <w:sz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在现有准入系统基础上</w:t>
      </w:r>
      <w:r>
        <w:rPr>
          <w:rFonts w:hint="eastAsia" w:ascii="宋体" w:hAnsi="宋体" w:eastAsia="宋体" w:cs="宋体"/>
          <w:b/>
          <w:bCs/>
          <w:kern w:val="0"/>
          <w:sz w:val="24"/>
          <w:szCs w:val="24"/>
        </w:rPr>
        <w:t>新增</w:t>
      </w: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rPr>
        <w:t>00点</w:t>
      </w:r>
      <w:r>
        <w:rPr>
          <w:rFonts w:hint="eastAsia" w:ascii="宋体" w:hAnsi="宋体" w:eastAsia="宋体" w:cs="宋体"/>
          <w:kern w:val="0"/>
          <w:sz w:val="24"/>
          <w:szCs w:val="24"/>
        </w:rPr>
        <w:t>终端准入安全授权</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授权为永久授权</w:t>
      </w:r>
      <w:r>
        <w:rPr>
          <w:rFonts w:hint="eastAsia" w:ascii="宋体" w:hAnsi="宋体" w:eastAsia="宋体" w:cs="宋体"/>
          <w:kern w:val="0"/>
          <w:sz w:val="24"/>
          <w:szCs w:val="24"/>
        </w:rPr>
        <w:t>，功能需与现有的一致，集成多种准入强制技术、提供多样化的身份认证，实现对外来终端非法接入的控制，检查终端系统安全性并提供“一键式”智能修复，基于角色的动态授权访问控制及实名日志审计。支持设备指纹识别模块;移动存储介质管理模块 ;违规外联监控模块;软硬件资产管理模块:远程运维管理模块;攻击检测模块</w:t>
      </w:r>
      <w:r>
        <w:rPr>
          <w:rFonts w:hint="eastAsia" w:ascii="宋体" w:hAnsi="宋体" w:eastAsia="宋体" w:cs="宋体"/>
          <w:kern w:val="0"/>
          <w:sz w:val="24"/>
          <w:szCs w:val="24"/>
          <w:lang w:eastAsia="zh-CN"/>
        </w:rPr>
        <w:t>。</w:t>
      </w:r>
    </w:p>
    <w:p w14:paraId="217C8249">
      <w:pPr>
        <w:numPr>
          <w:numId w:val="0"/>
        </w:numPr>
        <w:spacing w:before="156" w:beforeLines="50" w:after="156" w:afterLines="50"/>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准入系统应支持如下功能：</w:t>
      </w:r>
    </w:p>
    <w:p w14:paraId="6188B93A">
      <w:pPr>
        <w:numPr>
          <w:ilvl w:val="0"/>
          <w:numId w:val="3"/>
        </w:numPr>
        <w:spacing w:line="360" w:lineRule="auto"/>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要求软硬件一体架构，不接受通用Windows或Linux服务器架构。设备支持HA模式，</w:t>
      </w:r>
      <w:r>
        <w:rPr>
          <w:rFonts w:hint="eastAsia" w:ascii="宋体" w:hAnsi="宋体" w:eastAsia="宋体" w:cs="宋体"/>
          <w:color w:val="000000"/>
          <w:sz w:val="24"/>
          <w:szCs w:val="24"/>
          <w:lang w:val="en-US" w:eastAsia="zh-CN"/>
        </w:rPr>
        <w:t>扩容后的</w:t>
      </w:r>
      <w:r>
        <w:rPr>
          <w:rFonts w:hint="eastAsia" w:ascii="宋体" w:hAnsi="宋体" w:eastAsia="宋体" w:cs="宋体"/>
          <w:color w:val="000000"/>
          <w:sz w:val="24"/>
          <w:szCs w:val="24"/>
        </w:rPr>
        <w:t>终端管控授权</w:t>
      </w:r>
      <w:r>
        <w:rPr>
          <w:rFonts w:hint="eastAsia" w:ascii="宋体" w:hAnsi="宋体" w:eastAsia="宋体" w:cs="宋体"/>
          <w:color w:val="000000"/>
          <w:sz w:val="24"/>
          <w:szCs w:val="24"/>
          <w:lang w:val="en-US" w:eastAsia="zh-CN"/>
        </w:rPr>
        <w:t>总数为</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00个</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支持大负载方案，即外部负载均衡、自研负载均衡、设备堆叠等方式。</w:t>
      </w:r>
    </w:p>
    <w:p w14:paraId="347E316B">
      <w:pPr>
        <w:numPr>
          <w:ilvl w:val="0"/>
          <w:numId w:val="3"/>
        </w:numPr>
        <w:spacing w:line="360" w:lineRule="auto"/>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采用纯旁路部署，不修改现有网络结构及配置，不对网络造成任何负面影响，即插即用的纯网络层准入控制技术；支持多种准入技术（包括策略路由、虚拟网关在内等）部署方式；单台设备支持至少2种准入技术组合使用，以适应复杂网络环境。</w:t>
      </w:r>
    </w:p>
    <w:p w14:paraId="57248319">
      <w:pPr>
        <w:numPr>
          <w:ilvl w:val="0"/>
          <w:numId w:val="3"/>
        </w:numPr>
        <w:spacing w:line="360" w:lineRule="auto"/>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准入设备应提供至少安全客户端（Agent）、安全控件、无客户端等多种可供自定义部署、管理的终端部署模式。</w:t>
      </w:r>
    </w:p>
    <w:p w14:paraId="07234CD9">
      <w:pPr>
        <w:numPr>
          <w:ilvl w:val="0"/>
          <w:numId w:val="3"/>
        </w:numPr>
        <w:spacing w:line="360" w:lineRule="auto"/>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能够实时监测并发现接入内网的PC、平板电脑、智能手机、IP设备等终端，并能够在第一时间隔离阻断并通知管理员；对自动发现的终端能够按照类别自动归类，以方便网络终端的统计管理。</w:t>
      </w:r>
    </w:p>
    <w:p w14:paraId="411D444A">
      <w:pPr>
        <w:numPr>
          <w:ilvl w:val="0"/>
          <w:numId w:val="3"/>
        </w:numPr>
        <w:spacing w:line="360" w:lineRule="auto"/>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具有非智能IP终端信息库，能够精准识别网络打印机、网络摄像头、IP电话等设备，并根据设备特征进行自动匹配和归类；对在网终端进行扫描，并根据扫描结果综合计算出设备指纹特征；支持指纹特征与设备MAC地址绑定，支持阻断指纹发送变动的终端入网，防止非法设备伪造合法设备IP，MAC接入，支持通过升级设备指纹库的方式，提高设备指纹精度及识别率。</w:t>
      </w:r>
    </w:p>
    <w:p w14:paraId="4BFB19D1">
      <w:pPr>
        <w:numPr>
          <w:ilvl w:val="0"/>
          <w:numId w:val="3"/>
        </w:numPr>
        <w:spacing w:line="360" w:lineRule="auto"/>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支持终端入网IE浏览器重定向引导，当用户访问网页时能够自动转向到指定的页面或地址，并支持http代理及多重重定向引导。</w:t>
      </w:r>
    </w:p>
    <w:p w14:paraId="5B0D9E28">
      <w:pPr>
        <w:numPr>
          <w:ilvl w:val="0"/>
          <w:numId w:val="3"/>
        </w:numPr>
        <w:spacing w:line="360" w:lineRule="auto"/>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准入设备支持基于策略路由技术的准入控制模式，入网设备在访问网内关键资源时，将被强制隔离、引导至认证管理页面，同时支持交换机接口动态 VLAN下发、端口隔离模式的网络边界管理。</w:t>
      </w:r>
    </w:p>
    <w:p w14:paraId="3FAF8587">
      <w:pPr>
        <w:numPr>
          <w:ilvl w:val="0"/>
          <w:numId w:val="3"/>
        </w:numPr>
        <w:spacing w:line="360" w:lineRule="auto"/>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具有Mac OS、Linux、iOS、Android等系统专属客户端，支持认证引导和准入管理。</w:t>
      </w:r>
    </w:p>
    <w:p w14:paraId="6CE7E3CF">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为了便捷管理，要求支持移动端管理平台可实现设备快速定位、设备审核、实时报警监控、客户端验证码生成、准入控制器管理、平台基本信息、关机与重启。</w:t>
      </w:r>
    </w:p>
    <w:p w14:paraId="52399578">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支持虚拟化环境下微隔离技术，解决SDN环境下安全风险易扩散到同一个VXLAN下的其他虚机问题，保证云计算安全。</w:t>
      </w:r>
    </w:p>
    <w:p w14:paraId="1329C1FA">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准入设备支持交换机到终端计算机的网络拓扑管理功能，能够自动绘制出网络拓扑图并能在拓扑图上选取设备查看其基本状态信息、设备型号、所处位置、子节点、路由表、 ARP 表等信息；支持在界面上提供对该网络设备进行 TELNET、 SSH 等管理。</w:t>
      </w:r>
    </w:p>
    <w:p w14:paraId="10B24117">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支持自定义报表生成，能够自行填写报告的标题、制作人、公司名称。能够自定义：安全概况、违规检查项、违规次数统计、违规项数统计、操作系统安全检查、检查项统计、身份认证统计、安全检查趋势等项目是否生成。</w:t>
      </w:r>
    </w:p>
    <w:p w14:paraId="6A507182">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具备违规外联监控和阻断能力，能够对拨号、双网卡等多种违规联网行为做实时检测，并阻断违规外联行为，支持断开网络连接、关闭连接进程、断网后重启恢复、重启计算机等多种阻断方式。</w:t>
      </w:r>
    </w:p>
    <w:p w14:paraId="3DA8CD1A">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准入设备须提供系统安全配置、用户行为规范等类别检查项，至少提供30种以上安全检查项；具备杀毒软件识别与检查功能，能够识别主流的杀毒软件，具备杀毒软件版本、病毒库和运行情况的检查功能，支持的杀毒软件不低于20种。</w:t>
      </w:r>
    </w:p>
    <w:p w14:paraId="78DECDF6">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终端安全检查支持自定义检查，能够对终端文件的路径、版本、大小、MD5、进程、注册表项、服务等项自定义组合检查，能够通过安装包运行、访问站点、开关服务、关闭进程、执行文件、删除文件、修改注册表等方式进行安全修复。</w:t>
      </w:r>
    </w:p>
    <w:p w14:paraId="2528A423">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设备具有完整的补丁管理子系统，无需第三方补丁服务器支持，自身即可以提供完整的流程化补丁管理，包括同步更新、补丁分发表等功能，能够对补丁进行分级，分为：严重、重要、中等的类别。</w:t>
      </w:r>
    </w:p>
    <w:p w14:paraId="228B3DA8">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为适应未来发展，要求准入设备具备IPv4和IPv6双协议栈环境下的终端准入控制、重定向、认证、安检、修复等功能。</w:t>
      </w:r>
    </w:p>
    <w:p w14:paraId="3856CB20">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能够通过多种方式对攻击检测的信息进行展示，至少包括：动态云图、攻击信息列表、攻击统计信息。</w:t>
      </w:r>
    </w:p>
    <w:p w14:paraId="497E8DC1">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支持自定义报表生成，能够自行填写报告的标题、制作人、公司名称。能够自定义：安全概况、违规检查项、违规次数统计、违规项数统计、操作系统安全检查、检查项统计、身份认证统计、安全检查趋势等项目是否生成。</w:t>
      </w:r>
    </w:p>
    <w:p w14:paraId="5B4C15C9">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系统能支持管理员可以通过对存储介质统一注册、授权的方式来加强管理存储介质的使用范围和权限，未经标识的存储介质将不能正常使用。能对不同注册状态的存储介质制定不同的控制策略，能够对存储介质进行只读、禁用、放行、脱机生效以及时间范围等做精细控制。</w:t>
      </w:r>
    </w:p>
    <w:p w14:paraId="3A81E3F3">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具备移动存储设备管控功能，能实现对移动存储设备的注册、授权、分区加密、读写权限控制等功能，具备移动存储设备使用审计功能，审计内容至少包含设备类型、设备名称、设备拔插时间、IP地址、使用人等。</w:t>
      </w:r>
    </w:p>
    <w:p w14:paraId="51F8888D">
      <w:pPr>
        <w:pStyle w:val="6"/>
        <w:numPr>
          <w:ilvl w:val="0"/>
          <w:numId w:val="3"/>
        </w:numPr>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提供内网环境下的远程运维功能，可远程查看终端的进程、服务、文件等内容，并可远程至终端进行终端故障处理等操作。</w:t>
      </w:r>
    </w:p>
    <w:p w14:paraId="2A5DC5B2">
      <w:pPr>
        <w:numPr>
          <w:ilvl w:val="0"/>
          <w:numId w:val="3"/>
        </w:numPr>
        <w:spacing w:line="360" w:lineRule="auto"/>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准入设备提供终端软硬件资产管理功能，自动收集软硬件信息，并在资产发生变更的时候记录日志。</w:t>
      </w:r>
    </w:p>
    <w:p w14:paraId="18C9ACB1">
      <w:pPr>
        <w:rPr>
          <w:rFonts w:hint="eastAsia" w:ascii="宋体" w:hAnsi="宋体" w:eastAsia="宋体" w:cs="宋体"/>
          <w:b/>
          <w:bCs/>
          <w:sz w:val="28"/>
          <w:szCs w:val="28"/>
        </w:rPr>
      </w:pPr>
      <w:r>
        <w:rPr>
          <w:rFonts w:hint="eastAsia" w:ascii="宋体" w:hAnsi="宋体" w:eastAsia="宋体" w:cs="宋体"/>
          <w:b/>
          <w:bCs/>
          <w:sz w:val="28"/>
          <w:szCs w:val="28"/>
        </w:rPr>
        <w:br w:type="page"/>
      </w:r>
    </w:p>
    <w:p w14:paraId="46E6FD61">
      <w:pPr>
        <w:ind w:firstLine="480"/>
        <w:rPr>
          <w:rFonts w:hint="default"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条款参数</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B6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tcBorders>
              <w:top w:val="single" w:color="auto" w:sz="12" w:space="0"/>
              <w:left w:val="single" w:color="auto" w:sz="12" w:space="0"/>
              <w:bottom w:val="single" w:color="auto" w:sz="4" w:space="0"/>
              <w:right w:val="single" w:color="auto" w:sz="12" w:space="0"/>
            </w:tcBorders>
            <w:noWrap w:val="0"/>
            <w:vAlign w:val="top"/>
          </w:tcPr>
          <w:p w14:paraId="64EEA484">
            <w:pPr>
              <w:snapToGrid w:val="0"/>
              <w:spacing w:line="240" w:lineRule="auto"/>
              <w:ind w:firstLine="480"/>
              <w:jc w:val="center"/>
              <w:rPr>
                <w:rFonts w:hint="eastAsia" w:ascii="宋体" w:hAnsi="宋体" w:eastAsia="宋体" w:cs="宋体"/>
                <w:sz w:val="24"/>
                <w:szCs w:val="24"/>
              </w:rPr>
            </w:pPr>
            <w:r>
              <w:rPr>
                <w:rFonts w:hint="eastAsia" w:ascii="宋体" w:hAnsi="宋体" w:eastAsia="宋体" w:cs="宋体"/>
                <w:sz w:val="24"/>
                <w:szCs w:val="24"/>
              </w:rPr>
              <w:t>★具体内容</w:t>
            </w:r>
          </w:p>
        </w:tc>
      </w:tr>
      <w:tr w14:paraId="36A0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tcBorders>
              <w:top w:val="single" w:color="auto" w:sz="4" w:space="0"/>
              <w:left w:val="single" w:color="auto" w:sz="12" w:space="0"/>
              <w:bottom w:val="single" w:color="auto" w:sz="4" w:space="0"/>
              <w:right w:val="single" w:color="auto" w:sz="12" w:space="0"/>
            </w:tcBorders>
            <w:noWrap w:val="0"/>
            <w:vAlign w:val="top"/>
          </w:tcPr>
          <w:p w14:paraId="20F8506B">
            <w:pPr>
              <w:snapToGrid w:val="0"/>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支持</w:t>
            </w:r>
            <w:r>
              <w:rPr>
                <w:rFonts w:hint="eastAsia" w:ascii="宋体" w:hAnsi="宋体" w:eastAsia="宋体" w:cs="宋体"/>
                <w:sz w:val="24"/>
                <w:szCs w:val="24"/>
                <w:lang w:val="en-US" w:eastAsia="zh-CN"/>
              </w:rPr>
              <w:t>对采购人《采购内容清单》里的安全设备</w:t>
            </w:r>
            <w:r>
              <w:rPr>
                <w:rFonts w:hint="eastAsia" w:ascii="宋体" w:hAnsi="宋体" w:eastAsia="宋体" w:cs="宋体"/>
                <w:sz w:val="24"/>
                <w:szCs w:val="24"/>
              </w:rPr>
              <w:t>进行</w:t>
            </w:r>
            <w:r>
              <w:rPr>
                <w:rFonts w:hint="eastAsia" w:ascii="宋体" w:hAnsi="宋体" w:eastAsia="宋体" w:cs="宋体"/>
                <w:sz w:val="24"/>
                <w:szCs w:val="24"/>
                <w:lang w:val="en-US" w:eastAsia="zh-CN"/>
              </w:rPr>
              <w:t>原厂扩容对接，支持带特征库设备的进行原厂特征库无缝升级和策略</w:t>
            </w:r>
            <w:r>
              <w:rPr>
                <w:rFonts w:hint="eastAsia" w:ascii="宋体" w:hAnsi="宋体" w:eastAsia="宋体" w:cs="宋体"/>
                <w:sz w:val="24"/>
                <w:szCs w:val="24"/>
              </w:rPr>
              <w:t>响应</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供应商需合同签订后15个日历日内开展第一次原厂特征库升级服务</w:t>
            </w:r>
            <w:r>
              <w:rPr>
                <w:rFonts w:hint="eastAsia" w:ascii="宋体" w:hAnsi="宋体" w:eastAsia="宋体" w:cs="宋体"/>
                <w:sz w:val="24"/>
                <w:szCs w:val="24"/>
              </w:rPr>
              <w:t>，须提供书面承诺兼容性（格式自拟）并加盖</w:t>
            </w:r>
            <w:r>
              <w:rPr>
                <w:rFonts w:hint="eastAsia" w:ascii="宋体" w:hAnsi="宋体" w:eastAsia="宋体" w:cs="宋体"/>
                <w:sz w:val="24"/>
                <w:szCs w:val="24"/>
                <w:lang w:eastAsia="zh-CN"/>
              </w:rPr>
              <w:t>报价人</w:t>
            </w:r>
            <w:r>
              <w:rPr>
                <w:rFonts w:hint="eastAsia" w:ascii="宋体" w:hAnsi="宋体" w:eastAsia="宋体" w:cs="宋体"/>
                <w:sz w:val="24"/>
                <w:szCs w:val="24"/>
              </w:rPr>
              <w:t>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承诺函格式自拟</w:t>
            </w:r>
            <w:r>
              <w:rPr>
                <w:rFonts w:hint="eastAsia" w:ascii="宋体" w:hAnsi="宋体" w:eastAsia="宋体" w:cs="宋体"/>
                <w:sz w:val="24"/>
                <w:szCs w:val="24"/>
                <w:lang w:eastAsia="zh-CN"/>
              </w:rPr>
              <w:t>）。</w:t>
            </w:r>
          </w:p>
        </w:tc>
      </w:tr>
      <w:tr w14:paraId="26FF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tcBorders>
              <w:top w:val="single" w:color="auto" w:sz="4" w:space="0"/>
              <w:left w:val="single" w:color="auto" w:sz="12" w:space="0"/>
              <w:bottom w:val="single" w:color="auto" w:sz="12" w:space="0"/>
              <w:right w:val="single" w:color="auto" w:sz="12" w:space="0"/>
            </w:tcBorders>
            <w:noWrap w:val="0"/>
            <w:vAlign w:val="top"/>
          </w:tcPr>
          <w:p w14:paraId="22726D01">
            <w:pPr>
              <w:snapToGrid w:val="0"/>
              <w:ind w:firstLine="480"/>
              <w:rPr>
                <w:rFonts w:hint="eastAsia" w:ascii="宋体" w:hAnsi="宋体" w:eastAsia="宋体" w:cs="宋体"/>
                <w:sz w:val="24"/>
                <w:szCs w:val="24"/>
              </w:rPr>
            </w:pPr>
            <w:r>
              <w:rPr>
                <w:rFonts w:hint="eastAsia" w:ascii="宋体" w:hAnsi="宋体" w:eastAsia="宋体" w:cs="宋体"/>
                <w:sz w:val="24"/>
                <w:szCs w:val="24"/>
                <w:lang w:val="en-US" w:eastAsia="zh-CN"/>
              </w:rPr>
              <w:t>★2、采购人有权在成交后随时根据应答依据对服务提供的维保授权文件、工具、功能等进行检验，成交供应商需无条件配合；如发现响应文件存在任何与事实不符的应答，或者原本承诺“支持”、“满足”等，后经验证无法满足的，视为成交供应商虚假应标和违约，采购人有权一次性没收所有履约保证金、终止合同，并将情况报送采购主管部门。须提供书面承诺函（格式自拟），否则响应无效。</w:t>
            </w:r>
          </w:p>
        </w:tc>
      </w:tr>
    </w:tbl>
    <w:p w14:paraId="4D2BED29">
      <w:pPr>
        <w:ind w:firstLine="48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采购内容清单</w:t>
      </w:r>
    </w:p>
    <w:tbl>
      <w:tblPr>
        <w:tblStyle w:val="7"/>
        <w:tblW w:w="852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91"/>
        <w:gridCol w:w="1482"/>
        <w:gridCol w:w="1566"/>
        <w:gridCol w:w="691"/>
        <w:gridCol w:w="691"/>
        <w:gridCol w:w="3401"/>
      </w:tblGrid>
      <w:tr w14:paraId="3A85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CellSpacing w:w="0" w:type="dxa"/>
          <w:jc w:val="center"/>
        </w:trPr>
        <w:tc>
          <w:tcPr>
            <w:tcW w:w="691" w:type="dxa"/>
            <w:shd w:val="clear" w:color="auto" w:fill="FFFFFF"/>
            <w:tcMar>
              <w:top w:w="10" w:type="dxa"/>
              <w:left w:w="118" w:type="dxa"/>
              <w:bottom w:w="10" w:type="dxa"/>
              <w:right w:w="118" w:type="dxa"/>
            </w:tcMar>
            <w:vAlign w:val="center"/>
          </w:tcPr>
          <w:p w14:paraId="785EA44E">
            <w:pPr>
              <w:snapToGrid w:val="0"/>
              <w:spacing w:line="240" w:lineRule="auto"/>
              <w:ind w:left="0" w:leftChars="0" w:right="0" w:rightChars="0" w:firstLine="0" w:firstLineChars="0"/>
              <w:jc w:val="center"/>
              <w:rPr>
                <w:rFonts w:ascii="宋体" w:hAnsi="宋体" w:eastAsia="宋体" w:cs="宋体"/>
                <w:b/>
                <w:sz w:val="24"/>
                <w:szCs w:val="24"/>
              </w:rPr>
            </w:pPr>
            <w:r>
              <w:rPr>
                <w:rFonts w:ascii="宋体" w:hAnsi="宋体" w:eastAsia="宋体" w:cs="宋体"/>
                <w:b/>
                <w:sz w:val="24"/>
                <w:szCs w:val="24"/>
              </w:rPr>
              <w:t>序号</w:t>
            </w:r>
          </w:p>
        </w:tc>
        <w:tc>
          <w:tcPr>
            <w:tcW w:w="1482" w:type="dxa"/>
            <w:shd w:val="clear" w:color="auto" w:fill="FFFFFF"/>
            <w:tcMar>
              <w:top w:w="10" w:type="dxa"/>
              <w:left w:w="108" w:type="dxa"/>
              <w:bottom w:w="10" w:type="dxa"/>
              <w:right w:w="118" w:type="dxa"/>
            </w:tcMar>
            <w:vAlign w:val="center"/>
          </w:tcPr>
          <w:p w14:paraId="3ABCD641">
            <w:pPr>
              <w:snapToGrid w:val="0"/>
              <w:spacing w:line="240" w:lineRule="auto"/>
              <w:ind w:left="0" w:leftChars="0" w:right="0" w:rightChars="0" w:firstLine="0" w:firstLineChars="0"/>
              <w:jc w:val="center"/>
              <w:rPr>
                <w:rFonts w:ascii="宋体" w:hAnsi="宋体" w:eastAsia="宋体" w:cs="宋体"/>
                <w:b/>
                <w:sz w:val="24"/>
                <w:szCs w:val="24"/>
              </w:rPr>
            </w:pPr>
            <w:r>
              <w:rPr>
                <w:rFonts w:ascii="宋体" w:hAnsi="宋体" w:eastAsia="宋体" w:cs="宋体"/>
                <w:b/>
                <w:sz w:val="24"/>
                <w:szCs w:val="24"/>
              </w:rPr>
              <w:t>产品名称</w:t>
            </w:r>
          </w:p>
        </w:tc>
        <w:tc>
          <w:tcPr>
            <w:tcW w:w="1566" w:type="dxa"/>
            <w:shd w:val="clear" w:color="auto" w:fill="FFFFFF"/>
            <w:tcMar>
              <w:top w:w="10" w:type="dxa"/>
              <w:left w:w="108" w:type="dxa"/>
              <w:bottom w:w="10" w:type="dxa"/>
              <w:right w:w="118" w:type="dxa"/>
            </w:tcMar>
            <w:vAlign w:val="center"/>
          </w:tcPr>
          <w:p w14:paraId="797C8204">
            <w:pPr>
              <w:snapToGrid w:val="0"/>
              <w:spacing w:line="240" w:lineRule="auto"/>
              <w:ind w:left="0" w:leftChars="0" w:right="0" w:rightChars="0" w:firstLine="0" w:firstLineChars="0"/>
              <w:jc w:val="center"/>
              <w:rPr>
                <w:rFonts w:ascii="宋体" w:hAnsi="宋体" w:eastAsia="宋体" w:cs="宋体"/>
                <w:b/>
                <w:sz w:val="24"/>
                <w:szCs w:val="24"/>
              </w:rPr>
            </w:pPr>
            <w:r>
              <w:rPr>
                <w:rFonts w:ascii="宋体" w:hAnsi="宋体" w:eastAsia="宋体" w:cs="宋体"/>
                <w:b/>
                <w:sz w:val="24"/>
                <w:szCs w:val="24"/>
              </w:rPr>
              <w:t>品牌型号</w:t>
            </w:r>
          </w:p>
        </w:tc>
        <w:tc>
          <w:tcPr>
            <w:tcW w:w="691" w:type="dxa"/>
            <w:shd w:val="clear" w:color="auto" w:fill="FFFFFF"/>
            <w:tcMar>
              <w:top w:w="10" w:type="dxa"/>
              <w:left w:w="108" w:type="dxa"/>
              <w:bottom w:w="10" w:type="dxa"/>
              <w:right w:w="118" w:type="dxa"/>
            </w:tcMar>
            <w:vAlign w:val="center"/>
          </w:tcPr>
          <w:p w14:paraId="32B0277A">
            <w:pPr>
              <w:snapToGrid w:val="0"/>
              <w:spacing w:line="240" w:lineRule="auto"/>
              <w:ind w:left="0" w:leftChars="0" w:right="0" w:rightChars="0" w:firstLine="0" w:firstLineChars="0"/>
              <w:jc w:val="center"/>
              <w:rPr>
                <w:rFonts w:ascii="宋体" w:hAnsi="宋体" w:eastAsia="宋体" w:cs="宋体"/>
                <w:b/>
                <w:sz w:val="24"/>
                <w:szCs w:val="24"/>
              </w:rPr>
            </w:pPr>
            <w:r>
              <w:rPr>
                <w:rFonts w:ascii="宋体" w:hAnsi="宋体" w:eastAsia="宋体" w:cs="宋体"/>
                <w:b/>
                <w:sz w:val="24"/>
                <w:szCs w:val="24"/>
              </w:rPr>
              <w:t>数量</w:t>
            </w:r>
          </w:p>
        </w:tc>
        <w:tc>
          <w:tcPr>
            <w:tcW w:w="691" w:type="dxa"/>
            <w:shd w:val="clear" w:color="auto" w:fill="FFFFFF"/>
            <w:tcMar>
              <w:top w:w="10" w:type="dxa"/>
              <w:left w:w="108" w:type="dxa"/>
              <w:bottom w:w="10" w:type="dxa"/>
              <w:right w:w="118" w:type="dxa"/>
            </w:tcMar>
            <w:vAlign w:val="center"/>
          </w:tcPr>
          <w:p w14:paraId="015FB893">
            <w:pPr>
              <w:snapToGrid w:val="0"/>
              <w:spacing w:line="240" w:lineRule="auto"/>
              <w:ind w:left="0" w:leftChars="0" w:right="0" w:rightChars="0" w:firstLine="0" w:firstLineChars="0"/>
              <w:jc w:val="center"/>
              <w:rPr>
                <w:rFonts w:ascii="宋体" w:hAnsi="宋体" w:eastAsia="宋体" w:cs="宋体"/>
                <w:b/>
                <w:sz w:val="24"/>
                <w:szCs w:val="24"/>
              </w:rPr>
            </w:pPr>
            <w:r>
              <w:rPr>
                <w:rFonts w:ascii="宋体" w:hAnsi="宋体" w:eastAsia="宋体" w:cs="宋体"/>
                <w:b/>
                <w:sz w:val="24"/>
                <w:szCs w:val="24"/>
              </w:rPr>
              <w:t>单位</w:t>
            </w:r>
          </w:p>
        </w:tc>
        <w:tc>
          <w:tcPr>
            <w:tcW w:w="3401" w:type="dxa"/>
            <w:shd w:val="clear" w:color="auto" w:fill="FFFFFF"/>
            <w:tcMar>
              <w:top w:w="10" w:type="dxa"/>
              <w:left w:w="108" w:type="dxa"/>
              <w:bottom w:w="10" w:type="dxa"/>
              <w:right w:w="118" w:type="dxa"/>
            </w:tcMar>
            <w:vAlign w:val="center"/>
          </w:tcPr>
          <w:p w14:paraId="303FF803">
            <w:pPr>
              <w:snapToGrid w:val="0"/>
              <w:spacing w:line="240" w:lineRule="auto"/>
              <w:ind w:left="0" w:leftChars="0" w:right="0" w:rightChars="0" w:firstLine="0" w:firstLineChars="0"/>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采购内容</w:t>
            </w:r>
          </w:p>
        </w:tc>
      </w:tr>
      <w:tr w14:paraId="46B6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CellSpacing w:w="0" w:type="dxa"/>
          <w:jc w:val="center"/>
        </w:trPr>
        <w:tc>
          <w:tcPr>
            <w:tcW w:w="691" w:type="dxa"/>
            <w:shd w:val="clear" w:color="auto" w:fill="FFFFFF"/>
            <w:tcMar>
              <w:top w:w="0" w:type="dxa"/>
              <w:left w:w="118" w:type="dxa"/>
              <w:bottom w:w="10" w:type="dxa"/>
              <w:right w:w="118" w:type="dxa"/>
            </w:tcMar>
            <w:vAlign w:val="center"/>
          </w:tcPr>
          <w:p w14:paraId="20444F64">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82" w:type="dxa"/>
            <w:shd w:val="clear" w:color="auto" w:fill="FFFFFF"/>
            <w:tcMar>
              <w:top w:w="0" w:type="dxa"/>
              <w:left w:w="108" w:type="dxa"/>
              <w:bottom w:w="10" w:type="dxa"/>
              <w:right w:w="118" w:type="dxa"/>
            </w:tcMar>
            <w:vAlign w:val="center"/>
          </w:tcPr>
          <w:p w14:paraId="296D1F5D">
            <w:pPr>
              <w:snapToGrid w:val="0"/>
              <w:spacing w:line="240" w:lineRule="auto"/>
              <w:ind w:left="0" w:leftChars="0" w:right="0" w:rightChars="0" w:firstLine="0"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内网杀毒软件扩容</w:t>
            </w:r>
          </w:p>
        </w:tc>
        <w:tc>
          <w:tcPr>
            <w:tcW w:w="1566" w:type="dxa"/>
            <w:shd w:val="clear" w:color="auto" w:fill="FFFFFF"/>
            <w:tcMar>
              <w:top w:w="0" w:type="dxa"/>
              <w:left w:w="108" w:type="dxa"/>
              <w:bottom w:w="10" w:type="dxa"/>
              <w:right w:w="118" w:type="dxa"/>
            </w:tcMar>
            <w:vAlign w:val="center"/>
          </w:tcPr>
          <w:p w14:paraId="1B66E87D">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天擎V6.0</w:t>
            </w:r>
          </w:p>
        </w:tc>
        <w:tc>
          <w:tcPr>
            <w:tcW w:w="691" w:type="dxa"/>
            <w:shd w:val="clear" w:color="auto" w:fill="FFFFFF"/>
            <w:tcMar>
              <w:top w:w="0" w:type="dxa"/>
              <w:left w:w="108" w:type="dxa"/>
              <w:bottom w:w="10" w:type="dxa"/>
              <w:right w:w="118" w:type="dxa"/>
            </w:tcMar>
            <w:vAlign w:val="center"/>
          </w:tcPr>
          <w:p w14:paraId="605F1122">
            <w:pPr>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w:t>
            </w:r>
          </w:p>
        </w:tc>
        <w:tc>
          <w:tcPr>
            <w:tcW w:w="691" w:type="dxa"/>
            <w:shd w:val="clear" w:color="auto" w:fill="FFFFFF"/>
            <w:tcMar>
              <w:top w:w="0" w:type="dxa"/>
              <w:left w:w="108" w:type="dxa"/>
              <w:bottom w:w="10" w:type="dxa"/>
              <w:right w:w="118" w:type="dxa"/>
            </w:tcMar>
            <w:vAlign w:val="center"/>
          </w:tcPr>
          <w:p w14:paraId="4F7BF271">
            <w:pPr>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点</w:t>
            </w:r>
          </w:p>
        </w:tc>
        <w:tc>
          <w:tcPr>
            <w:tcW w:w="3401" w:type="dxa"/>
            <w:shd w:val="clear" w:color="auto" w:fill="FFFFFF"/>
            <w:tcMar>
              <w:top w:w="0" w:type="dxa"/>
              <w:left w:w="108" w:type="dxa"/>
              <w:bottom w:w="10" w:type="dxa"/>
              <w:right w:w="118" w:type="dxa"/>
            </w:tcMar>
            <w:vAlign w:val="center"/>
          </w:tcPr>
          <w:p w14:paraId="3301274B">
            <w:pPr>
              <w:snapToGrid w:val="0"/>
              <w:spacing w:line="240" w:lineRule="auto"/>
              <w:ind w:left="0" w:leftChars="0" w:right="0" w:rightChars="0" w:firstLine="0"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在现有的授权基础上增加200点PC终端客户端授权</w:t>
            </w:r>
          </w:p>
        </w:tc>
      </w:tr>
      <w:tr w14:paraId="71CD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CellSpacing w:w="0" w:type="dxa"/>
          <w:jc w:val="center"/>
        </w:trPr>
        <w:tc>
          <w:tcPr>
            <w:tcW w:w="691" w:type="dxa"/>
            <w:shd w:val="clear" w:color="auto" w:fill="FFFFFF"/>
            <w:tcMar>
              <w:top w:w="0" w:type="dxa"/>
              <w:left w:w="118" w:type="dxa"/>
              <w:bottom w:w="10" w:type="dxa"/>
              <w:right w:w="118" w:type="dxa"/>
            </w:tcMar>
            <w:vAlign w:val="center"/>
          </w:tcPr>
          <w:p w14:paraId="20A6DE4B">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82" w:type="dxa"/>
            <w:shd w:val="clear" w:color="auto" w:fill="FFFFFF"/>
            <w:tcMar>
              <w:top w:w="0" w:type="dxa"/>
              <w:left w:w="108" w:type="dxa"/>
              <w:bottom w:w="10" w:type="dxa"/>
              <w:right w:w="118" w:type="dxa"/>
            </w:tcMar>
            <w:vAlign w:val="center"/>
          </w:tcPr>
          <w:p w14:paraId="31217E16">
            <w:pPr>
              <w:snapToGrid w:val="0"/>
              <w:spacing w:line="240" w:lineRule="auto"/>
              <w:ind w:left="0" w:leftChars="0" w:right="0" w:rightChars="0" w:firstLine="0"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内网准入系统扩容</w:t>
            </w:r>
          </w:p>
        </w:tc>
        <w:tc>
          <w:tcPr>
            <w:tcW w:w="1566" w:type="dxa"/>
            <w:shd w:val="clear" w:color="auto" w:fill="FFFFFF"/>
            <w:tcMar>
              <w:top w:w="0" w:type="dxa"/>
              <w:left w:w="108" w:type="dxa"/>
              <w:bottom w:w="10" w:type="dxa"/>
              <w:right w:w="118" w:type="dxa"/>
            </w:tcMar>
            <w:vAlign w:val="center"/>
          </w:tcPr>
          <w:p w14:paraId="0EB3416B">
            <w:pPr>
              <w:snapToGrid w:val="0"/>
              <w:spacing w:line="24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ASM6837</w:t>
            </w:r>
          </w:p>
        </w:tc>
        <w:tc>
          <w:tcPr>
            <w:tcW w:w="691" w:type="dxa"/>
            <w:shd w:val="clear" w:color="auto" w:fill="FFFFFF"/>
            <w:tcMar>
              <w:top w:w="0" w:type="dxa"/>
              <w:left w:w="108" w:type="dxa"/>
              <w:bottom w:w="10" w:type="dxa"/>
              <w:right w:w="118" w:type="dxa"/>
            </w:tcMar>
            <w:vAlign w:val="center"/>
          </w:tcPr>
          <w:p w14:paraId="60B4B2DB">
            <w:pPr>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400</w:t>
            </w:r>
          </w:p>
        </w:tc>
        <w:tc>
          <w:tcPr>
            <w:tcW w:w="691" w:type="dxa"/>
            <w:shd w:val="clear" w:color="auto" w:fill="FFFFFF"/>
            <w:tcMar>
              <w:top w:w="0" w:type="dxa"/>
              <w:left w:w="108" w:type="dxa"/>
              <w:bottom w:w="10" w:type="dxa"/>
              <w:right w:w="118" w:type="dxa"/>
            </w:tcMar>
            <w:vAlign w:val="center"/>
          </w:tcPr>
          <w:p w14:paraId="235BD13A">
            <w:pPr>
              <w:snapToGrid w:val="0"/>
              <w:spacing w:line="240" w:lineRule="auto"/>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点</w:t>
            </w:r>
          </w:p>
        </w:tc>
        <w:tc>
          <w:tcPr>
            <w:tcW w:w="3401" w:type="dxa"/>
            <w:shd w:val="clear" w:color="auto" w:fill="FFFFFF"/>
            <w:tcMar>
              <w:top w:w="0" w:type="dxa"/>
              <w:left w:w="108" w:type="dxa"/>
              <w:bottom w:w="10" w:type="dxa"/>
              <w:right w:w="118" w:type="dxa"/>
            </w:tcMar>
            <w:vAlign w:val="center"/>
          </w:tcPr>
          <w:p w14:paraId="2F60149A">
            <w:pPr>
              <w:snapToGrid w:val="0"/>
              <w:spacing w:line="240" w:lineRule="auto"/>
              <w:ind w:left="0" w:leftChars="0" w:right="0" w:righ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在现有的授权基础上增加400点PC终端客户端授权</w:t>
            </w:r>
          </w:p>
        </w:tc>
      </w:tr>
    </w:tbl>
    <w:p w14:paraId="7E90CEF9">
      <w:pPr>
        <w:spacing w:line="360" w:lineRule="auto"/>
        <w:ind w:firstLine="480" w:firstLineChars="200"/>
        <w:rPr>
          <w:rFonts w:hint="eastAsia" w:ascii="宋体" w:hAnsi="宋体" w:eastAsia="宋体" w:cs="宋体"/>
          <w:sz w:val="24"/>
        </w:rPr>
      </w:pPr>
    </w:p>
    <w:p w14:paraId="696351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AEDF"/>
    <w:multiLevelType w:val="singleLevel"/>
    <w:tmpl w:val="829EAEDF"/>
    <w:lvl w:ilvl="0" w:tentative="0">
      <w:start w:val="1"/>
      <w:numFmt w:val="decimal"/>
      <w:suff w:val="nothing"/>
      <w:lvlText w:val="%1、"/>
      <w:lvlJc w:val="left"/>
    </w:lvl>
  </w:abstractNum>
  <w:abstractNum w:abstractNumId="1">
    <w:nsid w:val="AB4A1CCD"/>
    <w:multiLevelType w:val="singleLevel"/>
    <w:tmpl w:val="AB4A1CCD"/>
    <w:lvl w:ilvl="0" w:tentative="0">
      <w:start w:val="1"/>
      <w:numFmt w:val="decimalEnclosedCircleChinese"/>
      <w:suff w:val="nothing"/>
      <w:lvlText w:val="%1　"/>
      <w:lvlJc w:val="left"/>
      <w:pPr>
        <w:ind w:left="0" w:firstLine="400"/>
      </w:pPr>
      <w:rPr>
        <w:rFonts w:hint="eastAsia"/>
      </w:rPr>
    </w:lvl>
  </w:abstractNum>
  <w:abstractNum w:abstractNumId="2">
    <w:nsid w:val="F1DEDED2"/>
    <w:multiLevelType w:val="singleLevel"/>
    <w:tmpl w:val="F1DEDED2"/>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TY5MDFmZmY4M2FjOGY4ZjExZmM0MjViY2NjYzQifQ=="/>
  </w:docVars>
  <w:rsids>
    <w:rsidRoot w:val="5ADD7059"/>
    <w:rsid w:val="0ED2578C"/>
    <w:rsid w:val="25DE3A7A"/>
    <w:rsid w:val="5ADD7059"/>
    <w:rsid w:val="62B15864"/>
    <w:rsid w:val="73ED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591"/>
      <w:jc w:val="left"/>
    </w:pPr>
    <w:rPr>
      <w:rFonts w:ascii="宋体" w:hAnsi="宋体"/>
      <w:kern w:val="0"/>
      <w:sz w:val="24"/>
      <w:szCs w:val="24"/>
      <w:lang w:eastAsia="en-US"/>
    </w:rPr>
  </w:style>
  <w:style w:type="paragraph" w:customStyle="1" w:styleId="5">
    <w:name w:val="样式1"/>
    <w:basedOn w:val="1"/>
    <w:qFormat/>
    <w:uiPriority w:val="0"/>
    <w:pPr>
      <w:tabs>
        <w:tab w:val="left" w:pos="0"/>
      </w:tabs>
      <w:spacing w:line="560" w:lineRule="exact"/>
      <w:ind w:firstLine="640" w:firstLineChars="200"/>
      <w:jc w:val="left"/>
    </w:pPr>
    <w:rPr>
      <w:rFonts w:hint="eastAsia" w:ascii="仿宋_GB2312" w:hAnsi="仿宋_GB2312" w:eastAsia="仿宋_GB2312" w:cs="Times New Roman"/>
      <w:color w:val="000000" w:themeColor="text1"/>
      <w:kern w:val="0"/>
      <w:sz w:val="32"/>
      <w:szCs w:val="32"/>
      <w:lang w:val="zh-CN"/>
      <w14:textFill>
        <w14:solidFill>
          <w14:schemeClr w14:val="tx1"/>
        </w14:solidFill>
      </w14:textFill>
    </w:rPr>
  </w:style>
  <w:style w:type="paragraph" w:styleId="6">
    <w:name w:val="List Paragraph"/>
    <w:basedOn w:val="1"/>
    <w:qFormat/>
    <w:uiPriority w:val="34"/>
    <w:pPr>
      <w:spacing w:before="50" w:beforeLines="50" w:after="50" w:afterLines="50"/>
    </w:pPr>
    <w:rPr>
      <w:rFonts w:ascii="黑体" w:hAnsi="黑体"/>
    </w:rPr>
  </w:style>
  <w:style w:type="table" w:customStyle="1" w:styleId="7">
    <w:name w:val="any Tabl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2026-06-11T01:04:00Z</dcterms:created>
  <dc:creator>信息科</dc:creator>
  <cp:lastModifiedBy>信息科</cp:lastModifiedBy>
  <dcterms:modified xsi:type="dcterms:W3CDTF">2026-06-11T01:19:47Z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43A640E2368D4B9A9E2CC046E87024E4_11</vt:lpwstr>
  </property>
</Properties>
</file>