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DD0F3">
      <w:pPr>
        <w:rPr>
          <w:b/>
          <w:sz w:val="40"/>
        </w:rPr>
      </w:pPr>
    </w:p>
    <w:p w14:paraId="36E48E66">
      <w:pPr>
        <w:jc w:val="center"/>
        <w:rPr>
          <w:b/>
          <w:sz w:val="40"/>
        </w:rPr>
      </w:pPr>
    </w:p>
    <w:p w14:paraId="37E23A24">
      <w:pPr>
        <w:jc w:val="center"/>
        <w:rPr>
          <w:b/>
          <w:sz w:val="56"/>
        </w:rPr>
      </w:pPr>
    </w:p>
    <w:p w14:paraId="2B5805C2">
      <w:pPr>
        <w:jc w:val="center"/>
        <w:rPr>
          <w:b/>
          <w:sz w:val="72"/>
        </w:rPr>
      </w:pPr>
      <w:r>
        <w:rPr>
          <w:rFonts w:hint="eastAsia"/>
          <w:b/>
          <w:sz w:val="72"/>
        </w:rPr>
        <w:t>厦门市第三医院</w:t>
      </w:r>
    </w:p>
    <w:p w14:paraId="28B64647">
      <w:pPr>
        <w:jc w:val="center"/>
        <w:rPr>
          <w:b/>
          <w:sz w:val="56"/>
        </w:rPr>
      </w:pPr>
      <w:r>
        <w:rPr>
          <w:rFonts w:hint="eastAsia"/>
          <w:b/>
          <w:sz w:val="56"/>
        </w:rPr>
        <w:t>(后勤保障部-工程类)</w:t>
      </w:r>
    </w:p>
    <w:p w14:paraId="186965C0">
      <w:pPr>
        <w:jc w:val="center"/>
        <w:rPr>
          <w:b/>
          <w:sz w:val="56"/>
        </w:rPr>
      </w:pPr>
    </w:p>
    <w:p w14:paraId="604C25C5">
      <w:pPr>
        <w:jc w:val="center"/>
        <w:rPr>
          <w:b/>
          <w:sz w:val="56"/>
        </w:rPr>
      </w:pPr>
      <w:r>
        <w:rPr>
          <w:rFonts w:hint="eastAsia"/>
          <w:b/>
          <w:sz w:val="56"/>
        </w:rPr>
        <w:t>招标采购代理机构比选文件</w:t>
      </w:r>
    </w:p>
    <w:p w14:paraId="47770C48">
      <w:pPr>
        <w:jc w:val="center"/>
        <w:rPr>
          <w:b/>
          <w:sz w:val="56"/>
        </w:rPr>
      </w:pPr>
    </w:p>
    <w:p w14:paraId="0309BAF1">
      <w:pPr>
        <w:jc w:val="center"/>
        <w:rPr>
          <w:b/>
          <w:sz w:val="56"/>
        </w:rPr>
      </w:pPr>
    </w:p>
    <w:p w14:paraId="0C5FAB5A">
      <w:pPr>
        <w:jc w:val="center"/>
        <w:rPr>
          <w:b/>
          <w:sz w:val="56"/>
        </w:rPr>
      </w:pPr>
    </w:p>
    <w:p w14:paraId="020C6B2E">
      <w:pPr>
        <w:jc w:val="center"/>
        <w:rPr>
          <w:b/>
          <w:sz w:val="56"/>
        </w:rPr>
      </w:pPr>
    </w:p>
    <w:p w14:paraId="7CCA213F">
      <w:pPr>
        <w:jc w:val="center"/>
        <w:rPr>
          <w:b/>
          <w:sz w:val="56"/>
        </w:rPr>
      </w:pPr>
    </w:p>
    <w:p w14:paraId="5846E37A">
      <w:pPr>
        <w:jc w:val="center"/>
        <w:rPr>
          <w:rFonts w:asciiTheme="minorEastAsia" w:hAnsiTheme="minorEastAsia"/>
          <w:sz w:val="44"/>
        </w:rPr>
      </w:pPr>
      <w:r>
        <w:rPr>
          <w:rFonts w:hint="eastAsia" w:asciiTheme="minorEastAsia" w:hAnsiTheme="minorEastAsia"/>
          <w:sz w:val="44"/>
        </w:rPr>
        <w:t>2025年</w:t>
      </w:r>
      <w:r>
        <w:rPr>
          <w:rFonts w:hint="eastAsia" w:asciiTheme="minorEastAsia" w:hAnsiTheme="minorEastAsia"/>
          <w:sz w:val="44"/>
          <w:lang w:val="en-US" w:eastAsia="zh-CN"/>
        </w:rPr>
        <w:t>5</w:t>
      </w:r>
      <w:r>
        <w:rPr>
          <w:rFonts w:hint="eastAsia" w:asciiTheme="minorEastAsia" w:hAnsiTheme="minorEastAsia"/>
          <w:sz w:val="44"/>
        </w:rPr>
        <w:t>月</w:t>
      </w:r>
    </w:p>
    <w:p w14:paraId="78BC127C">
      <w:pPr>
        <w:rPr>
          <w:b/>
          <w:sz w:val="56"/>
        </w:rPr>
      </w:pPr>
    </w:p>
    <w:p w14:paraId="04B889F9">
      <w:pPr>
        <w:rPr>
          <w:b/>
          <w:sz w:val="56"/>
        </w:rPr>
        <w:sectPr>
          <w:footerReference r:id="rId3" w:type="default"/>
          <w:pgSz w:w="11906" w:h="16838"/>
          <w:pgMar w:top="1418" w:right="1418" w:bottom="1418" w:left="1418" w:header="851" w:footer="992" w:gutter="0"/>
          <w:cols w:space="425" w:num="1"/>
          <w:docGrid w:type="lines" w:linePitch="312" w:charSpace="0"/>
        </w:sectPr>
      </w:pPr>
    </w:p>
    <w:p w14:paraId="635270D9">
      <w:pPr>
        <w:spacing w:before="312" w:beforeLines="100" w:after="312" w:afterLines="100"/>
        <w:rPr>
          <w:b/>
          <w:sz w:val="32"/>
        </w:rPr>
      </w:pPr>
      <w:r>
        <w:rPr>
          <w:rFonts w:hint="eastAsia"/>
          <w:b/>
          <w:sz w:val="32"/>
        </w:rPr>
        <w:t>一、项目概况</w:t>
      </w:r>
    </w:p>
    <w:p w14:paraId="34E8DE54">
      <w:pPr>
        <w:ind w:firstLine="560" w:firstLineChars="200"/>
        <w:rPr>
          <w:rFonts w:asciiTheme="minorEastAsia" w:hAnsiTheme="minorEastAsia"/>
          <w:sz w:val="28"/>
        </w:rPr>
      </w:pPr>
      <w:r>
        <w:rPr>
          <w:rFonts w:hint="eastAsia" w:asciiTheme="minorEastAsia" w:hAnsiTheme="minorEastAsia"/>
          <w:sz w:val="28"/>
        </w:rPr>
        <w:t>1、比选人：厦门市第三医院后勤保障部-工程类</w:t>
      </w:r>
    </w:p>
    <w:p w14:paraId="411E93EE">
      <w:pPr>
        <w:ind w:firstLine="560" w:firstLineChars="200"/>
        <w:rPr>
          <w:rFonts w:asciiTheme="minorEastAsia" w:hAnsiTheme="minorEastAsia"/>
          <w:sz w:val="28"/>
        </w:rPr>
      </w:pPr>
      <w:r>
        <w:rPr>
          <w:rFonts w:hint="eastAsia" w:asciiTheme="minorEastAsia" w:hAnsiTheme="minorEastAsia"/>
          <w:sz w:val="28"/>
        </w:rPr>
        <w:t>2、项目名称：招标采购代理机构比选入围</w:t>
      </w:r>
    </w:p>
    <w:p w14:paraId="0BED03ED">
      <w:pPr>
        <w:ind w:firstLine="560" w:firstLineChars="200"/>
        <w:rPr>
          <w:rFonts w:asciiTheme="minorEastAsia" w:hAnsiTheme="minorEastAsia"/>
          <w:sz w:val="28"/>
        </w:rPr>
      </w:pPr>
      <w:r>
        <w:rPr>
          <w:rFonts w:hint="eastAsia" w:asciiTheme="minorEastAsia" w:hAnsiTheme="minorEastAsia"/>
          <w:sz w:val="28"/>
        </w:rPr>
        <w:t>3、服务期</w:t>
      </w:r>
      <w:r>
        <w:rPr>
          <w:rFonts w:hint="eastAsia" w:asciiTheme="minorEastAsia" w:hAnsiTheme="minorEastAsia"/>
          <w:color w:val="auto"/>
          <w:sz w:val="28"/>
        </w:rPr>
        <w:t>：确定入围之日起一年</w:t>
      </w:r>
    </w:p>
    <w:p w14:paraId="72E20908">
      <w:pPr>
        <w:ind w:firstLine="560" w:firstLineChars="200"/>
        <w:rPr>
          <w:rFonts w:asciiTheme="minorEastAsia" w:hAnsiTheme="minorEastAsia"/>
          <w:sz w:val="28"/>
        </w:rPr>
      </w:pPr>
      <w:r>
        <w:rPr>
          <w:rFonts w:hint="eastAsia" w:asciiTheme="minorEastAsia" w:hAnsiTheme="minorEastAsia"/>
          <w:sz w:val="28"/>
        </w:rPr>
        <w:t>4、在服务期内，根据上级相关主管部门的要求或者院内管理需要，医院可有权调整入库代理机构名单。</w:t>
      </w:r>
    </w:p>
    <w:p w14:paraId="68952BF1">
      <w:pPr>
        <w:ind w:firstLine="560" w:firstLineChars="200"/>
        <w:rPr>
          <w:rFonts w:asciiTheme="minorEastAsia" w:hAnsiTheme="minorEastAsia"/>
          <w:sz w:val="28"/>
        </w:rPr>
      </w:pPr>
      <w:r>
        <w:rPr>
          <w:rFonts w:hint="eastAsia" w:asciiTheme="minorEastAsia" w:hAnsiTheme="minorEastAsia"/>
          <w:sz w:val="28"/>
        </w:rPr>
        <w:t>5、采购人可采用随机抽取或者直接指定的方式从入围代理机构中选择具体项目的代理机构，采购人不保证所有代理机构可均等的承接业务。代理机构对此不得有异议。</w:t>
      </w:r>
    </w:p>
    <w:p w14:paraId="29502D59">
      <w:pPr>
        <w:ind w:firstLine="560" w:firstLineChars="200"/>
        <w:rPr>
          <w:rFonts w:asciiTheme="minorEastAsia" w:hAnsiTheme="minorEastAsia"/>
          <w:sz w:val="28"/>
        </w:rPr>
      </w:pPr>
      <w:r>
        <w:rPr>
          <w:rFonts w:hint="eastAsia" w:asciiTheme="minorEastAsia" w:hAnsiTheme="minorEastAsia"/>
          <w:sz w:val="28"/>
        </w:rPr>
        <w:t>6、代理机构应配备经验丰富、专业知识过硬的服务团队，根据政府采购的相关政策规定，以及医院的相关要求提供相应的代理服务。</w:t>
      </w:r>
    </w:p>
    <w:p w14:paraId="3306C294">
      <w:pPr>
        <w:ind w:firstLine="560" w:firstLineChars="200"/>
        <w:rPr>
          <w:rFonts w:asciiTheme="minorEastAsia" w:hAnsiTheme="minorEastAsia"/>
          <w:sz w:val="28"/>
        </w:rPr>
      </w:pPr>
      <w:r>
        <w:rPr>
          <w:rFonts w:hint="eastAsia" w:asciiTheme="minorEastAsia" w:hAnsiTheme="minorEastAsia"/>
          <w:sz w:val="28"/>
        </w:rPr>
        <w:t>7、在服务期内，代理机构出现服务不到位、出现重大过失、医院经办人反映服务较差等问题的，医院有权取消其入围资格。</w:t>
      </w:r>
    </w:p>
    <w:p w14:paraId="533CDBF1">
      <w:pPr>
        <w:ind w:firstLine="560" w:firstLineChars="200"/>
        <w:rPr>
          <w:rFonts w:asciiTheme="minorEastAsia" w:hAnsiTheme="minorEastAsia"/>
          <w:sz w:val="28"/>
        </w:rPr>
      </w:pPr>
    </w:p>
    <w:p w14:paraId="465833D7">
      <w:pPr>
        <w:ind w:firstLine="560" w:firstLineChars="200"/>
        <w:rPr>
          <w:rFonts w:asciiTheme="minorEastAsia" w:hAnsiTheme="minorEastAsia"/>
          <w:sz w:val="28"/>
        </w:rPr>
      </w:pPr>
    </w:p>
    <w:p w14:paraId="3BA0BB96">
      <w:pPr>
        <w:ind w:firstLine="560" w:firstLineChars="200"/>
        <w:rPr>
          <w:rFonts w:asciiTheme="minorEastAsia" w:hAnsiTheme="minorEastAsia"/>
          <w:sz w:val="28"/>
        </w:rPr>
      </w:pPr>
    </w:p>
    <w:p w14:paraId="5A33CA6C">
      <w:pPr>
        <w:ind w:firstLine="560" w:firstLineChars="200"/>
        <w:rPr>
          <w:rFonts w:asciiTheme="minorEastAsia" w:hAnsiTheme="minorEastAsia"/>
          <w:sz w:val="28"/>
        </w:rPr>
      </w:pPr>
    </w:p>
    <w:p w14:paraId="79126F28">
      <w:pPr>
        <w:ind w:firstLine="560" w:firstLineChars="200"/>
        <w:rPr>
          <w:rFonts w:asciiTheme="minorEastAsia" w:hAnsiTheme="minorEastAsia"/>
          <w:sz w:val="28"/>
        </w:rPr>
      </w:pPr>
    </w:p>
    <w:p w14:paraId="11A18690">
      <w:pPr>
        <w:ind w:firstLine="560" w:firstLineChars="200"/>
        <w:rPr>
          <w:rFonts w:asciiTheme="minorEastAsia" w:hAnsiTheme="minorEastAsia"/>
          <w:sz w:val="28"/>
        </w:rPr>
      </w:pPr>
    </w:p>
    <w:p w14:paraId="6B0C95A6">
      <w:pPr>
        <w:ind w:firstLine="560" w:firstLineChars="200"/>
        <w:rPr>
          <w:rFonts w:asciiTheme="minorEastAsia" w:hAnsiTheme="minorEastAsia"/>
          <w:sz w:val="28"/>
        </w:rPr>
      </w:pPr>
    </w:p>
    <w:p w14:paraId="173EA835">
      <w:pPr>
        <w:ind w:firstLine="560" w:firstLineChars="200"/>
        <w:rPr>
          <w:rFonts w:asciiTheme="minorEastAsia" w:hAnsiTheme="minorEastAsia"/>
          <w:sz w:val="28"/>
        </w:rPr>
      </w:pPr>
    </w:p>
    <w:p w14:paraId="4EED7FF7">
      <w:pPr>
        <w:spacing w:before="312" w:beforeLines="100" w:after="312" w:afterLines="100"/>
        <w:rPr>
          <w:b/>
          <w:sz w:val="32"/>
        </w:rPr>
      </w:pPr>
      <w:r>
        <w:rPr>
          <w:rFonts w:hint="eastAsia"/>
          <w:b/>
          <w:sz w:val="32"/>
        </w:rPr>
        <w:t>二、综合</w:t>
      </w:r>
      <w:r>
        <w:rPr>
          <w:rFonts w:hint="eastAsia"/>
          <w:b/>
          <w:sz w:val="32"/>
          <w:lang w:eastAsia="zh-CN"/>
        </w:rPr>
        <w:t>遴选</w:t>
      </w:r>
      <w:r>
        <w:rPr>
          <w:rFonts w:hint="eastAsia"/>
          <w:b/>
          <w:sz w:val="32"/>
        </w:rPr>
        <w:t>办法</w:t>
      </w:r>
    </w:p>
    <w:tbl>
      <w:tblPr>
        <w:tblStyle w:val="9"/>
        <w:tblpPr w:leftFromText="180" w:rightFromText="180" w:vertAnchor="text" w:horzAnchor="page" w:tblpX="1432" w:tblpY="925"/>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229"/>
        <w:gridCol w:w="1098"/>
      </w:tblGrid>
      <w:tr w14:paraId="6C69E0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C143A37">
            <w:pPr>
              <w:spacing w:line="360" w:lineRule="auto"/>
              <w:jc w:val="center"/>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序号</w:t>
            </w:r>
          </w:p>
        </w:tc>
        <w:tc>
          <w:tcPr>
            <w:tcW w:w="7229" w:type="dxa"/>
            <w:vAlign w:val="center"/>
          </w:tcPr>
          <w:p w14:paraId="26EAFF92">
            <w:pPr>
              <w:spacing w:line="360" w:lineRule="auto"/>
              <w:jc w:val="center"/>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eastAsia="zh-CN"/>
                <w14:textFill>
                  <w14:solidFill>
                    <w14:schemeClr w14:val="tx1"/>
                  </w14:solidFill>
                </w14:textFill>
              </w:rPr>
              <w:t>遴选评分</w:t>
            </w:r>
            <w:r>
              <w:rPr>
                <w:rFonts w:hint="eastAsia" w:asciiTheme="minorEastAsia" w:hAnsiTheme="minorEastAsia" w:cstheme="minorEastAsia"/>
                <w:b/>
                <w:color w:val="000000" w:themeColor="text1"/>
                <w:sz w:val="24"/>
                <w:szCs w:val="24"/>
                <w14:textFill>
                  <w14:solidFill>
                    <w14:schemeClr w14:val="tx1"/>
                  </w14:solidFill>
                </w14:textFill>
              </w:rPr>
              <w:t>标准</w:t>
            </w:r>
          </w:p>
        </w:tc>
        <w:tc>
          <w:tcPr>
            <w:tcW w:w="1098" w:type="dxa"/>
            <w:vAlign w:val="center"/>
          </w:tcPr>
          <w:p w14:paraId="55ADE3F4">
            <w:pPr>
              <w:spacing w:line="360" w:lineRule="auto"/>
              <w:jc w:val="center"/>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满分值</w:t>
            </w:r>
          </w:p>
        </w:tc>
      </w:tr>
      <w:tr w14:paraId="4720B0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3A8A9B1">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p>
        </w:tc>
        <w:tc>
          <w:tcPr>
            <w:tcW w:w="7229" w:type="dxa"/>
            <w:vAlign w:val="center"/>
          </w:tcPr>
          <w:p w14:paraId="787E8FF5">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w:t>
            </w:r>
            <w:r>
              <w:rPr>
                <w:rFonts w:hint="eastAsia" w:asciiTheme="minorEastAsia" w:hAnsiTheme="minorEastAsia" w:cstheme="minorEastAsia"/>
                <w:color w:val="000000" w:themeColor="text1"/>
                <w:sz w:val="24"/>
                <w:szCs w:val="24"/>
                <w14:textFill>
                  <w14:solidFill>
                    <w14:schemeClr w14:val="tx1"/>
                  </w14:solidFill>
                </w14:textFill>
              </w:rPr>
              <w:t>成立年限达到3年的得1分，每增加1年加1分，满分5分。</w:t>
            </w:r>
          </w:p>
        </w:tc>
        <w:tc>
          <w:tcPr>
            <w:tcW w:w="1098" w:type="dxa"/>
            <w:vAlign w:val="center"/>
          </w:tcPr>
          <w:p w14:paraId="4E25046F">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w:t>
            </w:r>
          </w:p>
        </w:tc>
      </w:tr>
      <w:tr w14:paraId="2D49B7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13456CD3">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w:t>
            </w:r>
          </w:p>
        </w:tc>
        <w:tc>
          <w:tcPr>
            <w:tcW w:w="7229" w:type="dxa"/>
            <w:vAlign w:val="center"/>
          </w:tcPr>
          <w:p w14:paraId="3EB445AD">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w:t>
            </w:r>
            <w:r>
              <w:rPr>
                <w:rFonts w:hint="eastAsia" w:ascii="宋体" w:hAnsi="宋体"/>
                <w:sz w:val="24"/>
              </w:rPr>
              <w:t>提供</w:t>
            </w:r>
            <w:r>
              <w:rPr>
                <w:rFonts w:hint="eastAsia" w:ascii="宋体" w:hAnsi="宋体" w:cs="宋体"/>
                <w:kern w:val="0"/>
                <w:sz w:val="24"/>
              </w:rPr>
              <w:t>2023</w:t>
            </w:r>
            <w:r>
              <w:rPr>
                <w:rFonts w:hint="eastAsia" w:ascii="宋体" w:hAnsi="宋体"/>
                <w:sz w:val="24"/>
              </w:rPr>
              <w:t>年1月1日以来在厦门市或以上建设主管部门关于招标代理的专项检查中</w:t>
            </w:r>
            <w:r>
              <w:rPr>
                <w:rFonts w:hint="eastAsia" w:ascii="宋体" w:hAnsi="宋体" w:eastAsia="宋体" w:cs="Times New Roman"/>
                <w:sz w:val="24"/>
                <w:szCs w:val="28"/>
              </w:rPr>
              <w:t>获得的表扬情况</w:t>
            </w:r>
            <w:r>
              <w:rPr>
                <w:rFonts w:hint="eastAsia" w:ascii="宋体" w:hAnsi="宋体"/>
                <w:sz w:val="24"/>
              </w:rPr>
              <w:t>，获得通报表扬的得3分。需提供相关通报文件复印件或政府网站截图，</w:t>
            </w:r>
            <w:r>
              <w:rPr>
                <w:rFonts w:hint="eastAsia" w:ascii="宋体" w:hAnsi="宋体" w:eastAsia="宋体" w:cs="Times New Roman"/>
                <w:sz w:val="24"/>
                <w:szCs w:val="24"/>
              </w:rPr>
              <w:t>未提供或不符合上述要求的不得分。</w:t>
            </w:r>
          </w:p>
        </w:tc>
        <w:tc>
          <w:tcPr>
            <w:tcW w:w="1098" w:type="dxa"/>
            <w:vAlign w:val="center"/>
          </w:tcPr>
          <w:p w14:paraId="04629808">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w:t>
            </w:r>
          </w:p>
        </w:tc>
      </w:tr>
      <w:tr w14:paraId="30DF3D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69087D97">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w:t>
            </w:r>
          </w:p>
        </w:tc>
        <w:tc>
          <w:tcPr>
            <w:tcW w:w="7229" w:type="dxa"/>
            <w:vAlign w:val="center"/>
          </w:tcPr>
          <w:p w14:paraId="7FEAA19E">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w:t>
            </w:r>
            <w:r>
              <w:rPr>
                <w:rFonts w:hint="eastAsia" w:asciiTheme="minorEastAsia" w:hAnsiTheme="minorEastAsia" w:cstheme="minorEastAsia"/>
                <w:color w:val="000000" w:themeColor="text1"/>
                <w:sz w:val="24"/>
                <w:szCs w:val="24"/>
                <w14:textFill>
                  <w14:solidFill>
                    <w14:schemeClr w14:val="tx1"/>
                  </w14:solidFill>
                </w14:textFill>
              </w:rPr>
              <w:t>在福建省政府采购网的代理机构综合信用评价情况：综合评价分≥100分的得5分，90分≤综合评价分＜100分的得3分，70分≤综合评价分＜90分的得1分，否则不得分。</w:t>
            </w:r>
          </w:p>
        </w:tc>
        <w:tc>
          <w:tcPr>
            <w:tcW w:w="1098" w:type="dxa"/>
            <w:vAlign w:val="center"/>
          </w:tcPr>
          <w:p w14:paraId="1852D680">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w:t>
            </w:r>
          </w:p>
        </w:tc>
      </w:tr>
      <w:tr w14:paraId="664B4D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79" w:hRule="atLeast"/>
        </w:trPr>
        <w:tc>
          <w:tcPr>
            <w:tcW w:w="959" w:type="dxa"/>
            <w:vAlign w:val="center"/>
          </w:tcPr>
          <w:p w14:paraId="21754B34">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w:t>
            </w:r>
          </w:p>
        </w:tc>
        <w:tc>
          <w:tcPr>
            <w:tcW w:w="7229" w:type="dxa"/>
            <w:vAlign w:val="center"/>
          </w:tcPr>
          <w:p w14:paraId="198CF420">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遴选响应招标代理机构通过质量管理体系认证、环境管理体系认证、职业健康安全管理体系认证且在有效期内的，每1项得1分，满分3分。 需提供相关认证证书作为证明材料，未提供不得分。</w:t>
            </w:r>
          </w:p>
        </w:tc>
        <w:tc>
          <w:tcPr>
            <w:tcW w:w="1098" w:type="dxa"/>
            <w:vAlign w:val="center"/>
          </w:tcPr>
          <w:p w14:paraId="5F36392D">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w:t>
            </w:r>
          </w:p>
        </w:tc>
      </w:tr>
      <w:tr w14:paraId="22A2E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2BFE6E18">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w:t>
            </w:r>
          </w:p>
        </w:tc>
        <w:tc>
          <w:tcPr>
            <w:tcW w:w="7229" w:type="dxa"/>
            <w:vAlign w:val="center"/>
          </w:tcPr>
          <w:p w14:paraId="33D46EFF">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根据遴选响应招标代理机构在厦门的固定办公场所面积情况进行评价：面积≥800㎡的得5分，每减少50㎡（不足50㎡按50计算，进行扣除）扣1分，扣完为止。</w:t>
            </w:r>
          </w:p>
          <w:p w14:paraId="0937B854">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注：若是自有的需提供营业场所产权证（所有权人应与遴选响应招标代理机构一致）；若是租赁的需提供场所租赁合同复印件（承租人应与遴选响应招标代理机构名称一致）。营业场所的地址必须与营业执照的住所地址或经营场所地址一致，不一致的不得分。</w:t>
            </w:r>
          </w:p>
        </w:tc>
        <w:tc>
          <w:tcPr>
            <w:tcW w:w="1098" w:type="dxa"/>
            <w:vAlign w:val="center"/>
          </w:tcPr>
          <w:p w14:paraId="338C4FB1">
            <w:pPr>
              <w:spacing w:line="360" w:lineRule="auto"/>
              <w:jc w:val="cente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w:t>
            </w:r>
          </w:p>
        </w:tc>
      </w:tr>
      <w:tr w14:paraId="60C3F2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5C5ED45">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6</w:t>
            </w:r>
          </w:p>
        </w:tc>
        <w:tc>
          <w:tcPr>
            <w:tcW w:w="7229" w:type="dxa"/>
            <w:vAlign w:val="center"/>
          </w:tcPr>
          <w:p w14:paraId="1C3F88FC">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在厦办公场所配备有开标室、评标室、样品陈列室、独立的专家抽取室、专用监控机房、档案室的，上述独立功能场所全部具备且硬件设备完备（开标室和评标室需配备监控录音录像设备）的得3分，每增加1间评标室加1分，满分5分。 需提供场所产权证明文件或租赁合同，独立功能场所需提供照片（照片内容需能明确表达评审事项内容），未提供证明材料不得分。</w:t>
            </w:r>
          </w:p>
        </w:tc>
        <w:tc>
          <w:tcPr>
            <w:tcW w:w="1098" w:type="dxa"/>
            <w:vAlign w:val="center"/>
          </w:tcPr>
          <w:p w14:paraId="589AC63F">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5</w:t>
            </w:r>
          </w:p>
        </w:tc>
      </w:tr>
      <w:tr w14:paraId="602FCB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14382D2">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7</w:t>
            </w:r>
          </w:p>
        </w:tc>
        <w:tc>
          <w:tcPr>
            <w:tcW w:w="7229" w:type="dxa"/>
            <w:vAlign w:val="center"/>
          </w:tcPr>
          <w:p w14:paraId="0B7A279F">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 xml:space="preserve">根据拟投入本项目的造价咨询人员情况进行评价： 具有5名国家注册造价工程师的基础上，每增加1名加1分，满分3分。 </w:t>
            </w:r>
          </w:p>
          <w:p w14:paraId="520CE754">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注：供应商需提供以上人员的身份证、造价师资格证书和注册证书（含变更注册登记栏页（如需））的复印件及供应商为其缴交的磋商截止时间前六个月（不含磋商截止时间的当月）任一月份的社保证明材料。未按上述提供证明材料的不得分。</w:t>
            </w:r>
          </w:p>
        </w:tc>
        <w:tc>
          <w:tcPr>
            <w:tcW w:w="1098" w:type="dxa"/>
            <w:vAlign w:val="center"/>
          </w:tcPr>
          <w:p w14:paraId="1446E8CF">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w:t>
            </w:r>
          </w:p>
        </w:tc>
      </w:tr>
      <w:tr w14:paraId="6251F4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61" w:hRule="atLeast"/>
        </w:trPr>
        <w:tc>
          <w:tcPr>
            <w:tcW w:w="959" w:type="dxa"/>
            <w:vAlign w:val="center"/>
          </w:tcPr>
          <w:p w14:paraId="2A13C9E9">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8</w:t>
            </w:r>
          </w:p>
        </w:tc>
        <w:tc>
          <w:tcPr>
            <w:tcW w:w="7229" w:type="dxa"/>
            <w:vAlign w:val="center"/>
          </w:tcPr>
          <w:p w14:paraId="7F4FCFD4">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 xml:space="preserve">根据遴选响应供应商为本项目提供的人员配备情况（项目负责人、专业技术人员的职称、从业资格证书等）因素进行评审。包括以下基本内容： </w:t>
            </w:r>
          </w:p>
          <w:p w14:paraId="33E4E543">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（1）项目负责人具有工程建设类中级职称的得1分；具有工程建设类高级职称的得2分。</w:t>
            </w:r>
          </w:p>
          <w:p w14:paraId="6F3C0EE2">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2）根据项目负责人在依法必招工程类招标代理项目中担任项目负责人的经验年限进行评价：在3年（含）至5年（不含）的得1分；在5年（含）至10年（不含）的得2分；10年及以上的得3分；(工程类招标代理经验年限证明材料：需提供工程类招标代理合同进行佐证，若合同中未体现项目负责人名称及岗位的，可提供该招标代理合同中甲方出具的书面说明（具有公章）或工程领域招投标在线监管平台中备案的招标代理项目组成员名单截图。每个年度至少提供一个招标代理合同，以合同签订落款时间为准。)</w:t>
            </w:r>
          </w:p>
          <w:p w14:paraId="06D10A31">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（3）专业技术人员具有工程建设类中级及以上职称的得1分。</w:t>
            </w:r>
          </w:p>
        </w:tc>
        <w:tc>
          <w:tcPr>
            <w:tcW w:w="1098" w:type="dxa"/>
            <w:vAlign w:val="center"/>
          </w:tcPr>
          <w:p w14:paraId="057C70AB">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6</w:t>
            </w:r>
          </w:p>
        </w:tc>
      </w:tr>
      <w:tr w14:paraId="57B5A0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05BD4DF1">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9</w:t>
            </w:r>
          </w:p>
        </w:tc>
        <w:tc>
          <w:tcPr>
            <w:tcW w:w="7229" w:type="dxa"/>
            <w:vAlign w:val="center"/>
          </w:tcPr>
          <w:p w14:paraId="2C8C3F60">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根据遴选响应供应商自2023年1月1日以来（以成交结果公告/公示日期为准）在中国政府采购网或福建省政府采购网上发布的政府采购工程项目（含修缮类项目）业绩进行评审：</w:t>
            </w:r>
          </w:p>
          <w:p w14:paraId="60323639">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120万元≤单个招标编号中标金额＜400万元的，每个业绩得1分，满分10分，注：遴选响应供应商须提供代理合同复印件、成交结果公告截图、且成交结果公告截图能清晰体现遴选响应供应商单位名称、中标金额，否则该项不得分。</w:t>
            </w:r>
          </w:p>
        </w:tc>
        <w:tc>
          <w:tcPr>
            <w:tcW w:w="1098" w:type="dxa"/>
            <w:vAlign w:val="center"/>
          </w:tcPr>
          <w:p w14:paraId="42E40151">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10</w:t>
            </w:r>
          </w:p>
        </w:tc>
      </w:tr>
      <w:tr w14:paraId="170B8D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31E26F70">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10</w:t>
            </w:r>
          </w:p>
        </w:tc>
        <w:tc>
          <w:tcPr>
            <w:tcW w:w="7229" w:type="dxa"/>
            <w:vAlign w:val="center"/>
          </w:tcPr>
          <w:p w14:paraId="092CCBD0">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遴选响应招标代理机构2023年1月1日以来承接过厦门地区医院的采购代理业务的，每家得1分，满分3分。每家至少提供一个项目委托协议或采购公告证明。</w:t>
            </w:r>
          </w:p>
        </w:tc>
        <w:tc>
          <w:tcPr>
            <w:tcW w:w="1098" w:type="dxa"/>
            <w:vAlign w:val="center"/>
          </w:tcPr>
          <w:p w14:paraId="321CB280">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w:t>
            </w:r>
          </w:p>
        </w:tc>
      </w:tr>
      <w:tr w14:paraId="220EAD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077B2D96">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11</w:t>
            </w:r>
          </w:p>
        </w:tc>
        <w:tc>
          <w:tcPr>
            <w:tcW w:w="7229" w:type="dxa"/>
            <w:vAlign w:val="center"/>
          </w:tcPr>
          <w:p w14:paraId="11611842">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遴选响应招标代理机构承诺按照招标文件要求提供招标代理和造价咨询服务，无条件配合招标人要求。提供承诺函得3分；未提供或不符合上述要求的不得分。（承诺函格式自拟）</w:t>
            </w:r>
          </w:p>
        </w:tc>
        <w:tc>
          <w:tcPr>
            <w:tcW w:w="1098" w:type="dxa"/>
            <w:vAlign w:val="center"/>
          </w:tcPr>
          <w:p w14:paraId="7F8B08F0">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w:t>
            </w:r>
          </w:p>
        </w:tc>
      </w:tr>
      <w:tr w14:paraId="0696DF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1411FA72">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12</w:t>
            </w:r>
          </w:p>
        </w:tc>
        <w:tc>
          <w:tcPr>
            <w:tcW w:w="7229" w:type="dxa"/>
            <w:vAlign w:val="center"/>
          </w:tcPr>
          <w:p w14:paraId="3367F6A7">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根据遴选响应招标代理机构拟提供的增值服务进行评价：每提供一项有利于采购人的增值服务得1分，满分3分。</w:t>
            </w:r>
          </w:p>
        </w:tc>
        <w:tc>
          <w:tcPr>
            <w:tcW w:w="1098" w:type="dxa"/>
            <w:vAlign w:val="center"/>
          </w:tcPr>
          <w:p w14:paraId="091C2654">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w:t>
            </w:r>
          </w:p>
        </w:tc>
      </w:tr>
      <w:tr w14:paraId="48AD3A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2216435">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13</w:t>
            </w:r>
          </w:p>
        </w:tc>
        <w:tc>
          <w:tcPr>
            <w:tcW w:w="7229" w:type="dxa"/>
            <w:vAlign w:val="center"/>
          </w:tcPr>
          <w:p w14:paraId="04B75F5B">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遴选响应招标代理机构承诺按照《关于政府采购代理服务费行业收费标准的指导意见》（厦采协指〔2020〕3号）标准，自行向项目中标人收费，不再向采购人收取任何费用的得10分，否则不得分。</w:t>
            </w:r>
          </w:p>
        </w:tc>
        <w:tc>
          <w:tcPr>
            <w:tcW w:w="1098" w:type="dxa"/>
            <w:vAlign w:val="center"/>
          </w:tcPr>
          <w:p w14:paraId="35B09E86">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10</w:t>
            </w:r>
          </w:p>
        </w:tc>
      </w:tr>
      <w:tr w14:paraId="49F7AC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1A36A07">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14</w:t>
            </w:r>
          </w:p>
        </w:tc>
        <w:tc>
          <w:tcPr>
            <w:tcW w:w="7229" w:type="dxa"/>
            <w:vAlign w:val="center"/>
          </w:tcPr>
          <w:p w14:paraId="0431EBED">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根据遴选响应招标代理机构提供的数据保密制度、保密承诺、资料安全保证措施，完整可行的每提供一项得1分，满分3分；未提供措施或者措施不可行或不符合项目需求的不得分。</w:t>
            </w:r>
          </w:p>
        </w:tc>
        <w:tc>
          <w:tcPr>
            <w:tcW w:w="1098" w:type="dxa"/>
            <w:vAlign w:val="center"/>
          </w:tcPr>
          <w:p w14:paraId="7D9D344B">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w:t>
            </w:r>
          </w:p>
        </w:tc>
      </w:tr>
      <w:tr w14:paraId="1B8AEC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5943643A">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15</w:t>
            </w:r>
          </w:p>
        </w:tc>
        <w:tc>
          <w:tcPr>
            <w:tcW w:w="7229" w:type="dxa"/>
            <w:vAlign w:val="center"/>
          </w:tcPr>
          <w:p w14:paraId="03A73A39">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遴选响应招标代理机构有司法部颁发的法律职业资格证书，或有聘任律师事务所作法律顾问的得3分，否则不得分。</w:t>
            </w:r>
          </w:p>
          <w:p w14:paraId="03C6E879">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注：须提供法律职业资格证书，或与律师事务所签订的合同复印件及法律顾问复印件，否则不得分。</w:t>
            </w:r>
          </w:p>
        </w:tc>
        <w:tc>
          <w:tcPr>
            <w:tcW w:w="1098" w:type="dxa"/>
            <w:vAlign w:val="center"/>
          </w:tcPr>
          <w:p w14:paraId="72115687">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w:t>
            </w:r>
          </w:p>
        </w:tc>
      </w:tr>
      <w:tr w14:paraId="7CB01D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49969A2B">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16</w:t>
            </w:r>
          </w:p>
        </w:tc>
        <w:tc>
          <w:tcPr>
            <w:tcW w:w="7229" w:type="dxa"/>
            <w:vAlign w:val="center"/>
          </w:tcPr>
          <w:p w14:paraId="281E999A">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遴选响应招标代理机构提供的招标代理重点、难点分析，以及对策及措施进行评价：方案详细、具体、完整、合理可行、重点突出、可操作性强且有利于服 务对象的得10分；方案较详细具体，具有较强的可操作性，虽有缺漏，但能够把握重点、不影响项目实施的得7分；方案存在缺漏，但基本满足项目实 施需要的得3分；未提供或不可行的不得分。</w:t>
            </w:r>
          </w:p>
        </w:tc>
        <w:tc>
          <w:tcPr>
            <w:tcW w:w="1098" w:type="dxa"/>
            <w:vAlign w:val="center"/>
          </w:tcPr>
          <w:p w14:paraId="237A490F">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10</w:t>
            </w:r>
          </w:p>
        </w:tc>
      </w:tr>
      <w:tr w14:paraId="4FAF7C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103A7A0B">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17</w:t>
            </w:r>
          </w:p>
        </w:tc>
        <w:tc>
          <w:tcPr>
            <w:tcW w:w="7229" w:type="dxa"/>
            <w:vAlign w:val="center"/>
          </w:tcPr>
          <w:p w14:paraId="72220A50">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根据遴选响应招标代理机构的代理服务方案的合规性、专业性、合理性等进行评价，包括：</w:t>
            </w:r>
          </w:p>
          <w:p w14:paraId="6D49E16F">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（1）项目各阶段服务内容：1-5分。</w:t>
            </w:r>
          </w:p>
          <w:p w14:paraId="1C2069F3">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（2）项目各阶段服务流程：1-5分。</w:t>
            </w:r>
          </w:p>
          <w:p w14:paraId="4CD61DE4">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（3）项目各阶段服务质量、服务时间承诺和质量、时间保证措施：1-5分。</w:t>
            </w:r>
          </w:p>
          <w:p w14:paraId="77831219">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（4）服务人员的资历、专业性等：1-5分。</w:t>
            </w:r>
          </w:p>
          <w:p w14:paraId="2504F163">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未提供方案的不得分。</w:t>
            </w:r>
          </w:p>
        </w:tc>
        <w:tc>
          <w:tcPr>
            <w:tcW w:w="1098" w:type="dxa"/>
            <w:vAlign w:val="center"/>
          </w:tcPr>
          <w:p w14:paraId="41522A50">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20</w:t>
            </w:r>
          </w:p>
        </w:tc>
      </w:tr>
      <w:tr w14:paraId="3A4DB9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14:paraId="74BF6286">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合计</w:t>
            </w:r>
          </w:p>
        </w:tc>
        <w:tc>
          <w:tcPr>
            <w:tcW w:w="7229" w:type="dxa"/>
            <w:vAlign w:val="center"/>
          </w:tcPr>
          <w:p w14:paraId="56AAD4A3">
            <w:pPr>
              <w:spacing w:line="360" w:lineRule="auto"/>
              <w:jc w:val="center"/>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100</w:t>
            </w:r>
          </w:p>
        </w:tc>
        <w:tc>
          <w:tcPr>
            <w:tcW w:w="1098" w:type="dxa"/>
            <w:vAlign w:val="center"/>
          </w:tcPr>
          <w:p w14:paraId="7C6B9CC3">
            <w:pPr>
              <w:spacing w:line="360" w:lineRule="auto"/>
              <w:rPr>
                <w:rFonts w:asciiTheme="minorEastAsia" w:hAnsiTheme="minorEastAsia" w:cstheme="minorEastAsia"/>
                <w:bCs/>
                <w:color w:val="000000" w:themeColor="text1"/>
                <w:sz w:val="24"/>
                <w:szCs w:val="24"/>
                <w14:textFill>
                  <w14:solidFill>
                    <w14:schemeClr w14:val="tx1"/>
                  </w14:solidFill>
                </w14:textFill>
              </w:rPr>
            </w:pPr>
          </w:p>
        </w:tc>
      </w:tr>
    </w:tbl>
    <w:p w14:paraId="71645734">
      <w:pPr>
        <w:spacing w:line="360" w:lineRule="auto"/>
        <w:rPr>
          <w:rFonts w:asciiTheme="minorEastAsia" w:hAnsiTheme="minorEastAsia" w:cstheme="minorEastAsia"/>
          <w:bCs/>
          <w:color w:val="000000" w:themeColor="text1"/>
          <w:sz w:val="24"/>
          <w:szCs w:val="24"/>
          <w14:textFill>
            <w14:solidFill>
              <w14:schemeClr w14:val="tx1"/>
            </w14:solidFill>
          </w14:textFill>
        </w:rPr>
      </w:pPr>
      <w:r>
        <w:rPr>
          <w:rFonts w:hint="eastAsia" w:asciiTheme="minorEastAsia" w:hAnsiTheme="minorEastAsia" w:cstheme="minorEastAsia"/>
          <w:bCs/>
          <w:color w:val="000000" w:themeColor="text1"/>
          <w:sz w:val="24"/>
          <w:szCs w:val="24"/>
          <w14:textFill>
            <w14:solidFill>
              <w14:schemeClr w14:val="tx1"/>
            </w14:solidFill>
          </w14:textFill>
        </w:rPr>
        <w:t>备注:</w:t>
      </w:r>
      <w:r>
        <w:rPr>
          <w:rFonts w:hint="eastAsia" w:asciiTheme="minorEastAsia" w:hAnsiTheme="minorEastAsia" w:cstheme="minorEastAsia"/>
          <w:bCs/>
          <w:color w:val="000000" w:themeColor="text1"/>
          <w:sz w:val="24"/>
          <w:szCs w:val="24"/>
          <w:lang w:eastAsia="zh-CN"/>
          <w14:textFill>
            <w14:solidFill>
              <w14:schemeClr w14:val="tx1"/>
            </w14:solidFill>
          </w14:textFill>
        </w:rPr>
        <w:t>该</w:t>
      </w:r>
      <w:r>
        <w:rPr>
          <w:rFonts w:hint="eastAsia" w:asciiTheme="minorEastAsia" w:hAnsiTheme="minorEastAsia" w:cstheme="minorEastAsia"/>
          <w:bCs/>
          <w:color w:val="000000" w:themeColor="text1"/>
          <w:sz w:val="24"/>
          <w:szCs w:val="24"/>
          <w14:textFill>
            <w14:solidFill>
              <w14:schemeClr w14:val="tx1"/>
            </w14:solidFill>
          </w14:textFill>
        </w:rPr>
        <w:t>评分细则仅适用于本</w:t>
      </w:r>
      <w:r>
        <w:rPr>
          <w:rFonts w:hint="eastAsia" w:asciiTheme="minorEastAsia" w:hAnsiTheme="minorEastAsia" w:cstheme="minorEastAsia"/>
          <w:bCs/>
          <w:color w:val="000000" w:themeColor="text1"/>
          <w:sz w:val="24"/>
          <w:szCs w:val="24"/>
          <w:lang w:eastAsia="zh-CN"/>
          <w14:textFill>
            <w14:solidFill>
              <w14:schemeClr w14:val="tx1"/>
            </w14:solidFill>
          </w14:textFill>
        </w:rPr>
        <w:t>院</w:t>
      </w:r>
      <w:r>
        <w:rPr>
          <w:rFonts w:hint="eastAsia" w:asciiTheme="minorEastAsia" w:hAnsiTheme="minorEastAsia" w:cstheme="minorEastAsia"/>
          <w:bCs/>
          <w:color w:val="000000" w:themeColor="text1"/>
          <w:sz w:val="24"/>
          <w:szCs w:val="24"/>
          <w14:textFill>
            <w14:solidFill>
              <w14:schemeClr w14:val="tx1"/>
            </w14:solidFill>
          </w14:textFill>
        </w:rPr>
        <w:t>代理机构遴选的一种方法，不与政府采购综合评分法等同，本院附有最终解释权。</w:t>
      </w:r>
    </w:p>
    <w:p w14:paraId="34AF22F8">
      <w:pPr>
        <w:spacing w:before="312" w:beforeLines="100" w:after="312" w:afterLines="100"/>
        <w:rPr>
          <w:b/>
          <w:color w:val="auto"/>
          <w:sz w:val="32"/>
        </w:rPr>
      </w:pPr>
      <w:r>
        <w:rPr>
          <w:rFonts w:hint="eastAsia"/>
          <w:b/>
          <w:color w:val="auto"/>
          <w:sz w:val="32"/>
        </w:rPr>
        <w:t>各遴选响应招标代理机构，需做出</w:t>
      </w:r>
      <w:bookmarkStart w:id="0" w:name="_GoBack"/>
      <w:bookmarkEnd w:id="0"/>
      <w:r>
        <w:rPr>
          <w:rFonts w:hint="eastAsia"/>
          <w:b/>
          <w:color w:val="auto"/>
          <w:sz w:val="32"/>
        </w:rPr>
        <w:t>响应表，针对上述评分标准自行打分，并将对应的证明材料页码标注清楚（请将自行打分表独立出来，用WORD的格式连同报名材料，一并发送到报名邮箱</w:t>
      </w:r>
      <w:r>
        <w:rPr>
          <w:rFonts w:hint="eastAsia"/>
          <w:b/>
          <w:color w:val="auto"/>
          <w:sz w:val="32"/>
          <w:lang w:val="en-US" w:eastAsia="zh-CN"/>
        </w:rPr>
        <w:t>287971078@qq.com</w:t>
      </w:r>
      <w:r>
        <w:rPr>
          <w:rFonts w:hint="eastAsia"/>
          <w:b/>
          <w:color w:val="auto"/>
          <w:sz w:val="32"/>
        </w:rPr>
        <w:t>）。</w:t>
      </w:r>
    </w:p>
    <w:p w14:paraId="6F6D8212">
      <w:pPr>
        <w:spacing w:before="312" w:beforeLines="100" w:after="312" w:afterLines="100"/>
        <w:rPr>
          <w:b/>
          <w:sz w:val="32"/>
        </w:rPr>
      </w:pPr>
      <w:r>
        <w:rPr>
          <w:rFonts w:hint="eastAsia"/>
          <w:b/>
          <w:sz w:val="32"/>
        </w:rPr>
        <w:t>三、确定入围名单</w:t>
      </w:r>
    </w:p>
    <w:p w14:paraId="6107D0FB">
      <w:pPr>
        <w:ind w:firstLine="560" w:firstLineChars="200"/>
        <w:rPr>
          <w:rFonts w:asciiTheme="minorEastAsia" w:hAnsiTheme="minorEastAsia"/>
          <w:sz w:val="28"/>
        </w:rPr>
      </w:pPr>
      <w:r>
        <w:rPr>
          <w:rFonts w:hint="eastAsia" w:asciiTheme="minorEastAsia" w:hAnsiTheme="minorEastAsia"/>
          <w:sz w:val="28"/>
          <w:lang w:val="en-US" w:eastAsia="zh-CN"/>
        </w:rPr>
        <w:t>1</w:t>
      </w:r>
      <w:r>
        <w:rPr>
          <w:rFonts w:hint="eastAsia" w:asciiTheme="minorEastAsia" w:hAnsiTheme="minorEastAsia"/>
          <w:sz w:val="28"/>
        </w:rPr>
        <w:t>、根据遴选响应招标代理机构的综合总得分由高到低进行排序；总得分相同的，按照第9项服务方案得分由高到低进行排序；第9项得分仍相同的，按照代理机构在福建省政府采购网的综合信用评价等级由高到低进行排序；以上仍相同的，通过随机抽取的方式排列。</w:t>
      </w:r>
    </w:p>
    <w:p w14:paraId="2AA3712D">
      <w:pPr>
        <w:ind w:firstLine="560" w:firstLineChars="200"/>
        <w:rPr>
          <w:rFonts w:asciiTheme="minorEastAsia" w:hAnsiTheme="minorEastAsia"/>
          <w:sz w:val="28"/>
        </w:rPr>
      </w:pPr>
      <w:r>
        <w:rPr>
          <w:rFonts w:hint="eastAsia" w:asciiTheme="minorEastAsia" w:hAnsiTheme="minorEastAsia"/>
          <w:sz w:val="28"/>
          <w:lang w:val="en-US" w:eastAsia="zh-CN"/>
        </w:rPr>
        <w:t>2</w:t>
      </w:r>
      <w:r>
        <w:rPr>
          <w:rFonts w:hint="eastAsia" w:asciiTheme="minorEastAsia" w:hAnsiTheme="minorEastAsia"/>
          <w:sz w:val="28"/>
        </w:rPr>
        <w:t>、按照代理机构的排列顺序，取综合信用评价等级为A级的前三名、B级的前三名，共6家代理机构为入围代理机构。若A级的不足三家，则由B级的补足。其他未入围的前2名B级代理机构为备选代理机构。</w:t>
      </w:r>
    </w:p>
    <w:p w14:paraId="32CCD132">
      <w:pPr>
        <w:ind w:firstLine="560" w:firstLineChars="200"/>
        <w:rPr>
          <w:rFonts w:asciiTheme="minorEastAsia" w:hAnsiTheme="minorEastAsia"/>
          <w:sz w:val="28"/>
        </w:rPr>
      </w:pPr>
      <w:r>
        <w:rPr>
          <w:rFonts w:hint="eastAsia" w:asciiTheme="minorEastAsia" w:hAnsiTheme="minorEastAsia"/>
          <w:sz w:val="28"/>
          <w:lang w:val="en-US" w:eastAsia="zh-CN"/>
        </w:rPr>
        <w:t>3</w:t>
      </w:r>
      <w:r>
        <w:rPr>
          <w:rFonts w:hint="eastAsia" w:asciiTheme="minorEastAsia" w:hAnsiTheme="minorEastAsia"/>
          <w:sz w:val="28"/>
        </w:rPr>
        <w:t>、在服务期内，若入围代理机构被取消入围资格的，则由备选代理机构递补。</w:t>
      </w:r>
    </w:p>
    <w:p w14:paraId="24BEF51D">
      <w:pPr>
        <w:ind w:firstLine="560" w:firstLineChars="200"/>
        <w:rPr>
          <w:rFonts w:asciiTheme="minorEastAsia" w:hAnsiTheme="minorEastAsia"/>
          <w:sz w:val="28"/>
        </w:rPr>
      </w:pPr>
      <w:r>
        <w:rPr>
          <w:rFonts w:hint="eastAsia" w:asciiTheme="minorEastAsia" w:hAnsiTheme="minorEastAsia"/>
          <w:sz w:val="28"/>
          <w:lang w:val="en-US" w:eastAsia="zh-CN"/>
        </w:rPr>
        <w:t>4</w:t>
      </w:r>
      <w:r>
        <w:rPr>
          <w:rFonts w:hint="eastAsia" w:asciiTheme="minorEastAsia" w:hAnsiTheme="minorEastAsia"/>
          <w:sz w:val="28"/>
        </w:rPr>
        <w:t>、入围的招标代理机构严格按照《福建省政府采购代理机构执业综合评价规则（试行）》的通知）闽财购函【2022】15号文件要求，实行动态管理。</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0388">
    <w:pPr>
      <w:pStyle w:val="6"/>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6</w:t>
    </w:r>
    <w:r>
      <w:rPr>
        <w:rFonts w:asciiTheme="minorEastAsia" w:hAnsiTheme="minorEastAsia"/>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NmEyMzYwYmMyMGRmNTRhNmE4MTgwNTEyYzQwMjQifQ=="/>
  </w:docVars>
  <w:rsids>
    <w:rsidRoot w:val="00AE7F82"/>
    <w:rsid w:val="0003173E"/>
    <w:rsid w:val="0013492A"/>
    <w:rsid w:val="001873DC"/>
    <w:rsid w:val="001B36F9"/>
    <w:rsid w:val="001E1B44"/>
    <w:rsid w:val="00200364"/>
    <w:rsid w:val="0026237C"/>
    <w:rsid w:val="002626AF"/>
    <w:rsid w:val="002C1DAE"/>
    <w:rsid w:val="00306E2C"/>
    <w:rsid w:val="0031497C"/>
    <w:rsid w:val="00334B50"/>
    <w:rsid w:val="0033641A"/>
    <w:rsid w:val="00344111"/>
    <w:rsid w:val="003721EC"/>
    <w:rsid w:val="00386733"/>
    <w:rsid w:val="003A08DF"/>
    <w:rsid w:val="003D3E98"/>
    <w:rsid w:val="003F0C40"/>
    <w:rsid w:val="00435854"/>
    <w:rsid w:val="0046705A"/>
    <w:rsid w:val="004F4346"/>
    <w:rsid w:val="0059419F"/>
    <w:rsid w:val="00614396"/>
    <w:rsid w:val="006E0F16"/>
    <w:rsid w:val="00743E70"/>
    <w:rsid w:val="00752345"/>
    <w:rsid w:val="007A4268"/>
    <w:rsid w:val="0086118E"/>
    <w:rsid w:val="008C1FBB"/>
    <w:rsid w:val="00972762"/>
    <w:rsid w:val="00A3797A"/>
    <w:rsid w:val="00A97EC4"/>
    <w:rsid w:val="00AE7F82"/>
    <w:rsid w:val="00B40288"/>
    <w:rsid w:val="00B451E5"/>
    <w:rsid w:val="00B97EEA"/>
    <w:rsid w:val="00BB4F3D"/>
    <w:rsid w:val="00BF033B"/>
    <w:rsid w:val="00C25EE5"/>
    <w:rsid w:val="00C31678"/>
    <w:rsid w:val="00C323BA"/>
    <w:rsid w:val="00CB4291"/>
    <w:rsid w:val="00CC3C2A"/>
    <w:rsid w:val="00D02925"/>
    <w:rsid w:val="00E57764"/>
    <w:rsid w:val="00EE7149"/>
    <w:rsid w:val="00F03767"/>
    <w:rsid w:val="00FC09C2"/>
    <w:rsid w:val="00FF3BB3"/>
    <w:rsid w:val="02714395"/>
    <w:rsid w:val="03E531C7"/>
    <w:rsid w:val="0DD423A8"/>
    <w:rsid w:val="0E927087"/>
    <w:rsid w:val="1247170C"/>
    <w:rsid w:val="19BE5CBA"/>
    <w:rsid w:val="1A5417D2"/>
    <w:rsid w:val="1CC1168C"/>
    <w:rsid w:val="1E823B55"/>
    <w:rsid w:val="1FB64492"/>
    <w:rsid w:val="221961CF"/>
    <w:rsid w:val="267A11BB"/>
    <w:rsid w:val="2E8E7EF9"/>
    <w:rsid w:val="380354B4"/>
    <w:rsid w:val="3CF2522E"/>
    <w:rsid w:val="3D38723D"/>
    <w:rsid w:val="3E2D20B5"/>
    <w:rsid w:val="3E484EBC"/>
    <w:rsid w:val="407976BD"/>
    <w:rsid w:val="443F5D1A"/>
    <w:rsid w:val="4732546E"/>
    <w:rsid w:val="47E64557"/>
    <w:rsid w:val="4A9F36E4"/>
    <w:rsid w:val="4B855E33"/>
    <w:rsid w:val="4C5D6394"/>
    <w:rsid w:val="504E3F66"/>
    <w:rsid w:val="539E7AFC"/>
    <w:rsid w:val="5495703C"/>
    <w:rsid w:val="5ECD7E91"/>
    <w:rsid w:val="6A737C6B"/>
    <w:rsid w:val="6A864E72"/>
    <w:rsid w:val="6DD14057"/>
    <w:rsid w:val="75CB690A"/>
    <w:rsid w:val="78ED7D7D"/>
    <w:rsid w:val="7BE5194C"/>
    <w:rsid w:val="7D0C4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rPr>
      <w:rFonts w:ascii="Times New Roman"/>
      <w:sz w:val="21"/>
      <w:szCs w:val="21"/>
    </w:rPr>
  </w:style>
  <w:style w:type="paragraph" w:styleId="3">
    <w:name w:val="Body Text Indent"/>
    <w:basedOn w:val="1"/>
    <w:next w:val="1"/>
    <w:qFormat/>
    <w:uiPriority w:val="99"/>
    <w:pPr>
      <w:ind w:left="-4" w:leftChars="-2" w:firstLine="560" w:firstLineChars="200"/>
    </w:pPr>
    <w:rPr>
      <w:rFonts w:ascii="宋体"/>
      <w:sz w:val="28"/>
    </w:rPr>
  </w:style>
  <w:style w:type="paragraph" w:styleId="4">
    <w:name w:val="Body Text"/>
    <w:basedOn w:val="1"/>
    <w:next w:val="1"/>
    <w:qFormat/>
    <w:uiPriority w:val="1"/>
    <w:rPr>
      <w:rFonts w:ascii="宋体" w:hAnsi="宋体" w:cs="宋体"/>
      <w:kern w:val="0"/>
      <w:sz w:val="24"/>
      <w:lang w:val="zh-CN" w:bidi="zh-CN"/>
    </w:rPr>
  </w:style>
  <w:style w:type="paragraph" w:styleId="5">
    <w:name w:val="Balloon Text"/>
    <w:basedOn w:val="1"/>
    <w:link w:val="11"/>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批注框文本 Char"/>
    <w:basedOn w:val="10"/>
    <w:link w:val="5"/>
    <w:semiHidden/>
    <w:qFormat/>
    <w:uiPriority w:val="99"/>
    <w:rPr>
      <w:sz w:val="18"/>
      <w:szCs w:val="18"/>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cyu</Company>
  <Pages>6</Pages>
  <Words>1547</Words>
  <Characters>1567</Characters>
  <Lines>21</Lines>
  <Paragraphs>6</Paragraphs>
  <TotalTime>24</TotalTime>
  <ScaleCrop>false</ScaleCrop>
  <LinksUpToDate>false</LinksUpToDate>
  <CharactersWithSpaces>1572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2023-06-13T09:22:00Z</dcterms:created>
  <dc:creator>H</dc:creator>
  <cp:lastModifiedBy>叶阿娜</cp:lastModifiedBy>
  <cp:lastPrinted>2025-04-30T02:39:00Z</cp:lastPrinted>
  <dcterms:modified xsi:type="dcterms:W3CDTF">2025-05-06T10:59:28Z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35460BCE5B8B49D89D947A4FEDF5FFED_13</vt:lpwstr>
  </property>
  <property fmtid="{D5CDD505-2E9C-101B-9397-08002B2CF9AE}" pid="4" name="KSOTemplateDocerSaveRecord">
    <vt:lpwstr>eyJoZGlkIjoiODUxY2Y5ZjhhZDMxZjkzZjFmMzQzN2Y0OWQyNThjZTQiLCJ1c2VySWQiOiIxMTYwMTY5NzcyIn0=</vt:lpwstr>
  </property>
</Properties>
</file>