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D0F3">
      <w:pPr>
        <w:rPr>
          <w:b/>
          <w:sz w:val="40"/>
        </w:rPr>
      </w:pPr>
    </w:p>
    <w:p w14:paraId="36E48E66">
      <w:pPr>
        <w:jc w:val="center"/>
        <w:rPr>
          <w:b/>
          <w:sz w:val="40"/>
        </w:rPr>
      </w:pPr>
    </w:p>
    <w:p w14:paraId="37E23A24">
      <w:pPr>
        <w:jc w:val="center"/>
        <w:rPr>
          <w:b/>
          <w:sz w:val="56"/>
        </w:rPr>
      </w:pPr>
    </w:p>
    <w:p w14:paraId="2B5805C2">
      <w:pPr>
        <w:jc w:val="center"/>
        <w:rPr>
          <w:b/>
          <w:sz w:val="72"/>
        </w:rPr>
      </w:pPr>
      <w:r>
        <w:rPr>
          <w:rFonts w:hint="eastAsia"/>
          <w:b/>
          <w:sz w:val="72"/>
        </w:rPr>
        <w:t>厦门市第三医院</w:t>
      </w:r>
    </w:p>
    <w:p w14:paraId="604C25C5">
      <w:pPr>
        <w:jc w:val="center"/>
        <w:rPr>
          <w:b/>
          <w:sz w:val="56"/>
        </w:rPr>
      </w:pPr>
      <w:r>
        <w:rPr>
          <w:rFonts w:hint="eastAsia"/>
          <w:b/>
          <w:sz w:val="56"/>
        </w:rPr>
        <w:t>(后勤保障部-监理)比选文件</w:t>
      </w:r>
    </w:p>
    <w:p w14:paraId="47770C48">
      <w:pPr>
        <w:jc w:val="center"/>
        <w:rPr>
          <w:b/>
          <w:sz w:val="56"/>
        </w:rPr>
      </w:pPr>
    </w:p>
    <w:p w14:paraId="0309BAF1">
      <w:pPr>
        <w:jc w:val="center"/>
        <w:rPr>
          <w:b/>
          <w:sz w:val="56"/>
        </w:rPr>
      </w:pPr>
    </w:p>
    <w:p w14:paraId="0C5FAB5A">
      <w:pPr>
        <w:jc w:val="center"/>
        <w:rPr>
          <w:b/>
          <w:sz w:val="56"/>
        </w:rPr>
      </w:pPr>
    </w:p>
    <w:p w14:paraId="020C6B2E">
      <w:pPr>
        <w:jc w:val="center"/>
        <w:rPr>
          <w:b/>
          <w:sz w:val="56"/>
        </w:rPr>
      </w:pPr>
    </w:p>
    <w:p w14:paraId="7CCA213F">
      <w:pPr>
        <w:jc w:val="center"/>
        <w:rPr>
          <w:b/>
          <w:sz w:val="56"/>
        </w:rPr>
      </w:pPr>
    </w:p>
    <w:p w14:paraId="5846E37A">
      <w:pPr>
        <w:jc w:val="center"/>
        <w:rPr>
          <w:rFonts w:asciiTheme="minorEastAsia" w:hAnsiTheme="minorEastAsia"/>
          <w:sz w:val="44"/>
        </w:rPr>
      </w:pPr>
      <w:r>
        <w:rPr>
          <w:rFonts w:hint="eastAsia" w:asciiTheme="minorEastAsia" w:hAnsiTheme="minorEastAsia"/>
          <w:sz w:val="44"/>
        </w:rPr>
        <w:t>2025年</w:t>
      </w:r>
      <w:r>
        <w:rPr>
          <w:rFonts w:hint="eastAsia" w:asciiTheme="minorEastAsia" w:hAnsiTheme="minorEastAsia"/>
          <w:sz w:val="44"/>
          <w:lang w:val="en-US" w:eastAsia="zh-CN"/>
        </w:rPr>
        <w:t>5</w:t>
      </w:r>
      <w:r>
        <w:rPr>
          <w:rFonts w:hint="eastAsia" w:asciiTheme="minorEastAsia" w:hAnsiTheme="minorEastAsia"/>
          <w:sz w:val="44"/>
        </w:rPr>
        <w:t>月</w:t>
      </w:r>
    </w:p>
    <w:p w14:paraId="78BC127C">
      <w:pPr>
        <w:rPr>
          <w:b/>
          <w:sz w:val="56"/>
        </w:rPr>
      </w:pPr>
    </w:p>
    <w:p w14:paraId="04B889F9">
      <w:pPr>
        <w:rPr>
          <w:b/>
          <w:sz w:val="56"/>
        </w:rPr>
        <w:sectPr>
          <w:footerReference r:id="rId3" w:type="default"/>
          <w:pgSz w:w="11906" w:h="16838"/>
          <w:pgMar w:top="1418" w:right="1418" w:bottom="1418" w:left="1418" w:header="851" w:footer="992" w:gutter="0"/>
          <w:cols w:space="425" w:num="1"/>
          <w:docGrid w:type="lines" w:linePitch="312" w:charSpace="0"/>
        </w:sectPr>
      </w:pPr>
    </w:p>
    <w:p w14:paraId="635270D9">
      <w:pPr>
        <w:spacing w:before="312" w:beforeLines="100" w:after="312" w:afterLines="100"/>
        <w:rPr>
          <w:b/>
          <w:sz w:val="32"/>
        </w:rPr>
      </w:pPr>
      <w:r>
        <w:rPr>
          <w:rFonts w:hint="eastAsia"/>
          <w:b/>
          <w:sz w:val="32"/>
        </w:rPr>
        <w:t>一、项目概况</w:t>
      </w:r>
    </w:p>
    <w:p w14:paraId="1835B623">
      <w:pPr>
        <w:ind w:firstLine="560" w:firstLineChars="200"/>
        <w:rPr>
          <w:rFonts w:asciiTheme="minorEastAsia" w:hAnsiTheme="minorEastAsia"/>
          <w:sz w:val="28"/>
        </w:rPr>
      </w:pPr>
      <w:r>
        <w:rPr>
          <w:rFonts w:hint="eastAsia" w:asciiTheme="minorEastAsia" w:hAnsiTheme="minorEastAsia"/>
          <w:sz w:val="28"/>
        </w:rPr>
        <w:t>1、比选人：厦门市第三医院后勤保障部-监理</w:t>
      </w:r>
    </w:p>
    <w:p w14:paraId="411E93EE">
      <w:pPr>
        <w:ind w:firstLine="560" w:firstLineChars="200"/>
        <w:rPr>
          <w:rFonts w:asciiTheme="minorEastAsia" w:hAnsiTheme="minorEastAsia"/>
          <w:sz w:val="28"/>
        </w:rPr>
      </w:pPr>
      <w:r>
        <w:rPr>
          <w:rFonts w:hint="eastAsia" w:asciiTheme="minorEastAsia" w:hAnsiTheme="minorEastAsia"/>
          <w:sz w:val="28"/>
        </w:rPr>
        <w:t>2、项目名称：监理</w:t>
      </w:r>
      <w:r>
        <w:rPr>
          <w:rFonts w:hint="eastAsia" w:asciiTheme="minorEastAsia" w:hAnsiTheme="minorEastAsia"/>
          <w:sz w:val="28"/>
          <w:lang w:eastAsia="zh-CN"/>
        </w:rPr>
        <w:t>单位</w:t>
      </w:r>
      <w:r>
        <w:rPr>
          <w:rFonts w:hint="eastAsia" w:asciiTheme="minorEastAsia" w:hAnsiTheme="minorEastAsia"/>
          <w:sz w:val="28"/>
        </w:rPr>
        <w:t>比选入围</w:t>
      </w:r>
    </w:p>
    <w:p w14:paraId="0BED03ED">
      <w:pPr>
        <w:ind w:firstLine="560" w:firstLineChars="200"/>
        <w:rPr>
          <w:rFonts w:asciiTheme="minorEastAsia" w:hAnsiTheme="minorEastAsia"/>
          <w:color w:val="000000" w:themeColor="text1"/>
          <w:sz w:val="28"/>
          <w14:textFill>
            <w14:solidFill>
              <w14:schemeClr w14:val="tx1"/>
            </w14:solidFill>
          </w14:textFill>
        </w:rPr>
      </w:pPr>
      <w:r>
        <w:rPr>
          <w:rFonts w:hint="eastAsia" w:asciiTheme="minorEastAsia" w:hAnsiTheme="minorEastAsia"/>
          <w:color w:val="000000" w:themeColor="text1"/>
          <w:sz w:val="28"/>
          <w14:textFill>
            <w14:solidFill>
              <w14:schemeClr w14:val="tx1"/>
            </w14:solidFill>
          </w14:textFill>
        </w:rPr>
        <w:t>3、服务期：确定入围之日起一年</w:t>
      </w:r>
    </w:p>
    <w:p w14:paraId="72E20908">
      <w:pPr>
        <w:ind w:firstLine="560" w:firstLineChars="200"/>
        <w:rPr>
          <w:rFonts w:asciiTheme="minorEastAsia" w:hAnsiTheme="minorEastAsia"/>
          <w:sz w:val="28"/>
        </w:rPr>
      </w:pPr>
      <w:r>
        <w:rPr>
          <w:rFonts w:hint="eastAsia" w:asciiTheme="minorEastAsia" w:hAnsiTheme="minorEastAsia"/>
          <w:sz w:val="28"/>
        </w:rPr>
        <w:t>4、在服务期内，根据上级相关主管部门的要求或者院内管理需要，医院可有权调整入库监理</w:t>
      </w:r>
      <w:r>
        <w:rPr>
          <w:rFonts w:hint="eastAsia" w:asciiTheme="minorEastAsia" w:hAnsiTheme="minorEastAsia"/>
          <w:sz w:val="28"/>
          <w:lang w:eastAsia="zh-CN"/>
        </w:rPr>
        <w:t>单位</w:t>
      </w:r>
      <w:r>
        <w:rPr>
          <w:rFonts w:hint="eastAsia" w:asciiTheme="minorEastAsia" w:hAnsiTheme="minorEastAsia"/>
          <w:sz w:val="28"/>
        </w:rPr>
        <w:t>名单。</w:t>
      </w:r>
    </w:p>
    <w:p w14:paraId="68952BF1">
      <w:pPr>
        <w:ind w:firstLine="560" w:firstLineChars="200"/>
        <w:rPr>
          <w:rFonts w:asciiTheme="minorEastAsia" w:hAnsiTheme="minorEastAsia"/>
          <w:sz w:val="28"/>
        </w:rPr>
      </w:pPr>
      <w:r>
        <w:rPr>
          <w:rFonts w:hint="eastAsia" w:asciiTheme="minorEastAsia" w:hAnsiTheme="minorEastAsia"/>
          <w:sz w:val="28"/>
        </w:rPr>
        <w:t>5、采购人可采用随机抽取或者直接指定的方式从入围监理</w:t>
      </w:r>
      <w:r>
        <w:rPr>
          <w:rFonts w:hint="eastAsia" w:asciiTheme="minorEastAsia" w:hAnsiTheme="minorEastAsia"/>
          <w:sz w:val="28"/>
          <w:lang w:eastAsia="zh-CN"/>
        </w:rPr>
        <w:t>单位</w:t>
      </w:r>
      <w:r>
        <w:rPr>
          <w:rFonts w:hint="eastAsia" w:asciiTheme="minorEastAsia" w:hAnsiTheme="minorEastAsia"/>
          <w:sz w:val="28"/>
        </w:rPr>
        <w:t>中选择具体项目的监理</w:t>
      </w:r>
      <w:r>
        <w:rPr>
          <w:rFonts w:hint="eastAsia" w:asciiTheme="minorEastAsia" w:hAnsiTheme="minorEastAsia"/>
          <w:sz w:val="28"/>
          <w:lang w:eastAsia="zh-CN"/>
        </w:rPr>
        <w:t>单位</w:t>
      </w:r>
      <w:r>
        <w:rPr>
          <w:rFonts w:hint="eastAsia" w:asciiTheme="minorEastAsia" w:hAnsiTheme="minorEastAsia"/>
          <w:sz w:val="28"/>
        </w:rPr>
        <w:t>，采购人不保证所有监理</w:t>
      </w:r>
      <w:r>
        <w:rPr>
          <w:rFonts w:hint="eastAsia" w:asciiTheme="minorEastAsia" w:hAnsiTheme="minorEastAsia"/>
          <w:sz w:val="28"/>
          <w:lang w:eastAsia="zh-CN"/>
        </w:rPr>
        <w:t>单位</w:t>
      </w:r>
      <w:r>
        <w:rPr>
          <w:rFonts w:hint="eastAsia" w:asciiTheme="minorEastAsia" w:hAnsiTheme="minorEastAsia"/>
          <w:sz w:val="28"/>
        </w:rPr>
        <w:t>可均等的承接业务。监理</w:t>
      </w:r>
      <w:r>
        <w:rPr>
          <w:rFonts w:hint="eastAsia" w:asciiTheme="minorEastAsia" w:hAnsiTheme="minorEastAsia"/>
          <w:sz w:val="28"/>
          <w:lang w:eastAsia="zh-CN"/>
        </w:rPr>
        <w:t>单位</w:t>
      </w:r>
      <w:r>
        <w:rPr>
          <w:rFonts w:hint="eastAsia" w:asciiTheme="minorEastAsia" w:hAnsiTheme="minorEastAsia"/>
          <w:sz w:val="28"/>
        </w:rPr>
        <w:t>对此不得有异议。</w:t>
      </w:r>
    </w:p>
    <w:p w14:paraId="29502D59">
      <w:pPr>
        <w:ind w:firstLine="560" w:firstLineChars="200"/>
        <w:rPr>
          <w:rFonts w:asciiTheme="minorEastAsia" w:hAnsiTheme="minorEastAsia"/>
          <w:sz w:val="28"/>
        </w:rPr>
      </w:pPr>
      <w:r>
        <w:rPr>
          <w:rFonts w:hint="eastAsia" w:asciiTheme="minorEastAsia" w:hAnsiTheme="minorEastAsia"/>
          <w:sz w:val="28"/>
        </w:rPr>
        <w:t>6、监理</w:t>
      </w:r>
      <w:r>
        <w:rPr>
          <w:rFonts w:hint="eastAsia" w:asciiTheme="minorEastAsia" w:hAnsiTheme="minorEastAsia"/>
          <w:sz w:val="28"/>
          <w:lang w:eastAsia="zh-CN"/>
        </w:rPr>
        <w:t>单位</w:t>
      </w:r>
      <w:r>
        <w:rPr>
          <w:rFonts w:hint="eastAsia" w:asciiTheme="minorEastAsia" w:hAnsiTheme="minorEastAsia"/>
          <w:sz w:val="28"/>
        </w:rPr>
        <w:t>应配备经验丰富、专业知识过硬的服务团队，根据政府采购的相关政策规定，以及医院的相关要求提供相应的监理</w:t>
      </w:r>
      <w:r>
        <w:rPr>
          <w:rFonts w:hint="eastAsia" w:asciiTheme="minorEastAsia" w:hAnsiTheme="minorEastAsia"/>
          <w:sz w:val="28"/>
          <w:lang w:eastAsia="zh-CN"/>
        </w:rPr>
        <w:t>单位</w:t>
      </w:r>
      <w:r>
        <w:rPr>
          <w:rFonts w:hint="eastAsia" w:asciiTheme="minorEastAsia" w:hAnsiTheme="minorEastAsia"/>
          <w:sz w:val="28"/>
        </w:rPr>
        <w:t>。</w:t>
      </w:r>
    </w:p>
    <w:p w14:paraId="3306C294">
      <w:pPr>
        <w:ind w:firstLine="560" w:firstLineChars="200"/>
        <w:rPr>
          <w:rFonts w:asciiTheme="minorEastAsia" w:hAnsiTheme="minorEastAsia"/>
          <w:sz w:val="28"/>
        </w:rPr>
      </w:pPr>
      <w:r>
        <w:rPr>
          <w:rFonts w:hint="eastAsia" w:asciiTheme="minorEastAsia" w:hAnsiTheme="minorEastAsia"/>
          <w:sz w:val="28"/>
        </w:rPr>
        <w:t>7、在服务期内，监理</w:t>
      </w:r>
      <w:r>
        <w:rPr>
          <w:rFonts w:hint="eastAsia" w:asciiTheme="minorEastAsia" w:hAnsiTheme="minorEastAsia"/>
          <w:sz w:val="28"/>
          <w:lang w:eastAsia="zh-CN"/>
        </w:rPr>
        <w:t>单位</w:t>
      </w:r>
      <w:r>
        <w:rPr>
          <w:rFonts w:hint="eastAsia" w:asciiTheme="minorEastAsia" w:hAnsiTheme="minorEastAsia"/>
          <w:sz w:val="28"/>
        </w:rPr>
        <w:t>出现服务不到位、出现重大过失、医院经办人反映服务较差等问题的，医院有权取消其入围资格。</w:t>
      </w:r>
    </w:p>
    <w:p w14:paraId="533CDBF1">
      <w:pPr>
        <w:ind w:firstLine="560" w:firstLineChars="200"/>
        <w:rPr>
          <w:rFonts w:asciiTheme="minorEastAsia" w:hAnsiTheme="minorEastAsia"/>
          <w:sz w:val="28"/>
        </w:rPr>
      </w:pPr>
    </w:p>
    <w:p w14:paraId="465833D7">
      <w:pPr>
        <w:ind w:firstLine="560" w:firstLineChars="200"/>
        <w:rPr>
          <w:rFonts w:asciiTheme="minorEastAsia" w:hAnsiTheme="minorEastAsia"/>
          <w:sz w:val="28"/>
        </w:rPr>
      </w:pPr>
    </w:p>
    <w:p w14:paraId="3BA0BB96">
      <w:pPr>
        <w:ind w:firstLine="560" w:firstLineChars="200"/>
        <w:rPr>
          <w:rFonts w:asciiTheme="minorEastAsia" w:hAnsiTheme="minorEastAsia"/>
          <w:sz w:val="28"/>
        </w:rPr>
      </w:pPr>
    </w:p>
    <w:p w14:paraId="5A33CA6C">
      <w:pPr>
        <w:ind w:firstLine="560" w:firstLineChars="200"/>
        <w:rPr>
          <w:rFonts w:asciiTheme="minorEastAsia" w:hAnsiTheme="minorEastAsia"/>
          <w:sz w:val="28"/>
        </w:rPr>
      </w:pPr>
    </w:p>
    <w:p w14:paraId="79126F28">
      <w:pPr>
        <w:ind w:firstLine="560" w:firstLineChars="200"/>
        <w:rPr>
          <w:rFonts w:asciiTheme="minorEastAsia" w:hAnsiTheme="minorEastAsia"/>
          <w:sz w:val="28"/>
        </w:rPr>
      </w:pPr>
    </w:p>
    <w:p w14:paraId="11A18690">
      <w:pPr>
        <w:ind w:firstLine="560" w:firstLineChars="200"/>
        <w:rPr>
          <w:rFonts w:asciiTheme="minorEastAsia" w:hAnsiTheme="minorEastAsia"/>
          <w:sz w:val="28"/>
        </w:rPr>
      </w:pPr>
    </w:p>
    <w:p w14:paraId="6B0C95A6">
      <w:pPr>
        <w:ind w:firstLine="560" w:firstLineChars="200"/>
        <w:rPr>
          <w:rFonts w:asciiTheme="minorEastAsia" w:hAnsiTheme="minorEastAsia"/>
          <w:sz w:val="28"/>
        </w:rPr>
      </w:pPr>
    </w:p>
    <w:p w14:paraId="173EA835">
      <w:pPr>
        <w:ind w:firstLine="560" w:firstLineChars="200"/>
        <w:rPr>
          <w:rFonts w:asciiTheme="minorEastAsia" w:hAnsiTheme="minorEastAsia"/>
          <w:sz w:val="28"/>
        </w:rPr>
      </w:pPr>
    </w:p>
    <w:p w14:paraId="4EED7FF7">
      <w:pPr>
        <w:spacing w:before="312" w:beforeLines="100" w:after="312" w:afterLines="100"/>
        <w:rPr>
          <w:b/>
          <w:sz w:val="32"/>
        </w:rPr>
      </w:pPr>
      <w:r>
        <w:rPr>
          <w:rFonts w:hint="eastAsia"/>
          <w:b/>
          <w:sz w:val="32"/>
        </w:rPr>
        <w:t>二、综合</w:t>
      </w:r>
      <w:r>
        <w:rPr>
          <w:rFonts w:hint="eastAsia"/>
          <w:b/>
          <w:sz w:val="32"/>
          <w:lang w:eastAsia="zh-CN"/>
        </w:rPr>
        <w:t>遴选</w:t>
      </w:r>
      <w:r>
        <w:rPr>
          <w:rFonts w:hint="eastAsia"/>
          <w:b/>
          <w:sz w:val="32"/>
        </w:rPr>
        <w:t>办法</w:t>
      </w:r>
    </w:p>
    <w:tbl>
      <w:tblPr>
        <w:tblStyle w:val="10"/>
        <w:tblpPr w:leftFromText="180" w:rightFromText="180" w:vertAnchor="text" w:horzAnchor="page" w:tblpX="1432" w:tblpY="925"/>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229"/>
        <w:gridCol w:w="1098"/>
      </w:tblGrid>
      <w:tr w14:paraId="6C69E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C143A37">
            <w:pPr>
              <w:spacing w:line="360" w:lineRule="auto"/>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序号</w:t>
            </w:r>
          </w:p>
        </w:tc>
        <w:tc>
          <w:tcPr>
            <w:tcW w:w="7229" w:type="dxa"/>
            <w:vAlign w:val="center"/>
          </w:tcPr>
          <w:p w14:paraId="26EAFF92">
            <w:pPr>
              <w:spacing w:line="360" w:lineRule="auto"/>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遴选</w:t>
            </w:r>
            <w:r>
              <w:rPr>
                <w:rFonts w:hint="eastAsia" w:asciiTheme="minorEastAsia" w:hAnsiTheme="minorEastAsia" w:cstheme="minorEastAsia"/>
                <w:b/>
                <w:color w:val="000000" w:themeColor="text1"/>
                <w:sz w:val="24"/>
                <w:szCs w:val="24"/>
                <w14:textFill>
                  <w14:solidFill>
                    <w14:schemeClr w14:val="tx1"/>
                  </w14:solidFill>
                </w14:textFill>
              </w:rPr>
              <w:t>评分标准</w:t>
            </w:r>
          </w:p>
        </w:tc>
        <w:tc>
          <w:tcPr>
            <w:tcW w:w="1098" w:type="dxa"/>
            <w:vAlign w:val="center"/>
          </w:tcPr>
          <w:p w14:paraId="55ADE3F4">
            <w:pPr>
              <w:spacing w:line="360" w:lineRule="auto"/>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满分值</w:t>
            </w:r>
          </w:p>
        </w:tc>
      </w:tr>
      <w:tr w14:paraId="4720B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3A8A9B1">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7229" w:type="dxa"/>
            <w:vAlign w:val="center"/>
          </w:tcPr>
          <w:p w14:paraId="787E8FF5">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成立年限达到3年的得1分，每增加1年加1分，满分5分。</w:t>
            </w:r>
          </w:p>
        </w:tc>
        <w:tc>
          <w:tcPr>
            <w:tcW w:w="1098" w:type="dxa"/>
            <w:vAlign w:val="center"/>
          </w:tcPr>
          <w:p w14:paraId="4E25046F">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p>
        </w:tc>
      </w:tr>
      <w:tr w14:paraId="351FE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EF900DA">
            <w:pPr>
              <w:spacing w:line="360"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p>
        </w:tc>
        <w:tc>
          <w:tcPr>
            <w:tcW w:w="7229" w:type="dxa"/>
            <w:vAlign w:val="center"/>
          </w:tcPr>
          <w:p w14:paraId="5CD6C473">
            <w:pPr>
              <w:spacing w:line="360" w:lineRule="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近3年内（证书或获奖相关文件日期为准）监理的项目（房屋建筑工程）获得市级及以上质量类奖项，</w:t>
            </w:r>
            <w:r>
              <w:rPr>
                <w:rFonts w:hint="eastAsia" w:asciiTheme="minorEastAsia" w:hAnsiTheme="minorEastAsia" w:cstheme="minorEastAsia"/>
                <w:color w:val="000000" w:themeColor="text1"/>
                <w:sz w:val="24"/>
                <w:szCs w:val="24"/>
                <w:lang w:eastAsia="zh-CN"/>
                <w14:textFill>
                  <w14:solidFill>
                    <w14:schemeClr w14:val="tx1"/>
                  </w14:solidFill>
                </w14:textFill>
              </w:rPr>
              <w:t>每个奖项</w:t>
            </w:r>
            <w:r>
              <w:rPr>
                <w:rFonts w:hint="eastAsia" w:asciiTheme="minorEastAsia" w:hAnsiTheme="minorEastAsia" w:eastAsiaTheme="minorEastAsia" w:cstheme="minorEastAsia"/>
                <w:color w:val="000000" w:themeColor="text1"/>
                <w:sz w:val="24"/>
                <w:szCs w:val="24"/>
                <w14:textFill>
                  <w14:solidFill>
                    <w14:schemeClr w14:val="tx1"/>
                  </w14:solidFill>
                </w14:textFill>
              </w:rPr>
              <w:t>得</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分。满分</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1098" w:type="dxa"/>
            <w:vAlign w:val="center"/>
          </w:tcPr>
          <w:p w14:paraId="7BBCEE6E">
            <w:pPr>
              <w:spacing w:line="360"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p>
        </w:tc>
      </w:tr>
      <w:tr w14:paraId="2B8D7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DB94744">
            <w:pPr>
              <w:spacing w:line="360"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p>
        </w:tc>
        <w:tc>
          <w:tcPr>
            <w:tcW w:w="7229" w:type="dxa"/>
            <w:vAlign w:val="center"/>
          </w:tcPr>
          <w:p w14:paraId="5B97616C">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具有住房城乡建设行政主管部门核发的有效的监理综合资质或房屋建筑工程专业甲级监理资质的，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分。【提供营业执照（或事业单位法人证书）、资质证书复印件】</w:t>
            </w:r>
          </w:p>
        </w:tc>
        <w:tc>
          <w:tcPr>
            <w:tcW w:w="1098" w:type="dxa"/>
            <w:vAlign w:val="center"/>
          </w:tcPr>
          <w:p w14:paraId="105497A2">
            <w:pPr>
              <w:spacing w:line="360"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p>
        </w:tc>
      </w:tr>
      <w:tr w14:paraId="482F44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6D1AC10">
            <w:pPr>
              <w:spacing w:line="360" w:lineRule="auto"/>
              <w:jc w:val="cente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4</w:t>
            </w:r>
          </w:p>
        </w:tc>
        <w:tc>
          <w:tcPr>
            <w:tcW w:w="7229" w:type="dxa"/>
            <w:vAlign w:val="center"/>
          </w:tcPr>
          <w:p w14:paraId="3BF0E054">
            <w:pPr>
              <w:spacing w:line="360" w:lineRule="auto"/>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近3年内在厦门地区内每完成已竣工验收合格的房屋建筑工程监理业绩，且合同金额不低于</w:t>
            </w:r>
            <w:r>
              <w:rPr>
                <w:rFonts w:hint="eastAsia" w:asciiTheme="minorEastAsia" w:hAnsiTheme="minorEastAsia" w:cstheme="minorEastAsia"/>
                <w:color w:val="000000" w:themeColor="text1"/>
                <w:sz w:val="24"/>
                <w:szCs w:val="24"/>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4"/>
                <w:szCs w:val="24"/>
                <w14:textFill>
                  <w14:solidFill>
                    <w14:schemeClr w14:val="tx1"/>
                  </w14:solidFill>
                </w14:textFill>
              </w:rPr>
              <w:t>万元的，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每提供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1项</w:t>
            </w:r>
            <w:r>
              <w:rPr>
                <w:rFonts w:hint="eastAsia" w:asciiTheme="minorEastAsia" w:hAnsiTheme="minorEastAsia" w:eastAsiaTheme="minorEastAsia" w:cstheme="minorEastAsia"/>
                <w:color w:val="000000" w:themeColor="text1"/>
                <w:sz w:val="24"/>
                <w:szCs w:val="24"/>
                <w14:textFill>
                  <w14:solidFill>
                    <w14:schemeClr w14:val="tx1"/>
                  </w14:solidFill>
                </w14:textFill>
              </w:rPr>
              <w:t>得</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分；近3年内在厦门地区内每完成已竣工验收合格的房屋建筑工程监理业绩，且合同金额不低于80万元的，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每提供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1项</w:t>
            </w:r>
            <w:r>
              <w:rPr>
                <w:rFonts w:hint="eastAsia" w:asciiTheme="minorEastAsia" w:hAnsiTheme="minorEastAsia" w:eastAsiaTheme="minorEastAsia" w:cstheme="minorEastAsia"/>
                <w:color w:val="000000" w:themeColor="text1"/>
                <w:sz w:val="24"/>
                <w:szCs w:val="24"/>
                <w14:textFill>
                  <w14:solidFill>
                    <w14:schemeClr w14:val="tx1"/>
                  </w14:solidFill>
                </w14:textFill>
              </w:rPr>
              <w:t>得</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分。满分</w:t>
            </w:r>
            <w:r>
              <w:rPr>
                <w:rFonts w:hint="eastAsia" w:asciiTheme="minorEastAsia" w:hAnsiTheme="minorEastAsia" w:cstheme="minorEastAsia"/>
                <w:color w:val="000000" w:themeColor="text1"/>
                <w:sz w:val="24"/>
                <w:szCs w:val="24"/>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（提供合同复印件和验收报告）</w:t>
            </w:r>
          </w:p>
        </w:tc>
        <w:tc>
          <w:tcPr>
            <w:tcW w:w="1098" w:type="dxa"/>
            <w:vAlign w:val="center"/>
          </w:tcPr>
          <w:p w14:paraId="400F2CF5">
            <w:pPr>
              <w:spacing w:line="360" w:lineRule="auto"/>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18</w:t>
            </w:r>
          </w:p>
        </w:tc>
      </w:tr>
      <w:tr w14:paraId="50514C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A9F6342">
            <w:pPr>
              <w:spacing w:line="360"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p>
        </w:tc>
        <w:tc>
          <w:tcPr>
            <w:tcW w:w="7229" w:type="dxa"/>
            <w:vAlign w:val="center"/>
          </w:tcPr>
          <w:p w14:paraId="3CBAFA35">
            <w:pPr>
              <w:numPr>
                <w:ilvl w:val="0"/>
                <w:numId w:val="0"/>
              </w:numPr>
              <w:spacing w:line="400" w:lineRule="exac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遴选响应监理单位同时</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具有国家注册监理工程师（注册专业为房屋建筑工程）和中级及以上职称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每提供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1人得</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14:textFill>
                  <w14:solidFill>
                    <w14:schemeClr w14:val="tx1"/>
                  </w14:solidFill>
                </w14:textFill>
              </w:rPr>
              <w:t>其中具有高级职称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每提供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1人得</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满分</w:t>
            </w: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分。</w:t>
            </w:r>
          </w:p>
          <w:p w14:paraId="4D873E62">
            <w:pPr>
              <w:tabs>
                <w:tab w:val="left" w:pos="653"/>
              </w:tabs>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供应商需提供以上人员的身份证、资格证书和注册证书（含变更注册登记栏页（如需））的复印件及供应商为其缴交的磋商截止时间前六个月（不含磋商截止时间的当月）任一月份的社保证明材料。未按上述提供证明材料的不得分。</w:t>
            </w:r>
          </w:p>
        </w:tc>
        <w:tc>
          <w:tcPr>
            <w:tcW w:w="1098" w:type="dxa"/>
            <w:vAlign w:val="center"/>
          </w:tcPr>
          <w:p w14:paraId="7AEE72E5">
            <w:pPr>
              <w:spacing w:line="360" w:lineRule="auto"/>
              <w:jc w:val="center"/>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p>
        </w:tc>
      </w:tr>
      <w:tr w14:paraId="55116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59CF587">
            <w:pPr>
              <w:spacing w:line="360"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p>
        </w:tc>
        <w:tc>
          <w:tcPr>
            <w:tcW w:w="7229" w:type="dxa"/>
            <w:vAlign w:val="center"/>
          </w:tcPr>
          <w:p w14:paraId="3A01675B">
            <w:pPr>
              <w:numPr>
                <w:ilvl w:val="0"/>
                <w:numId w:val="0"/>
              </w:numPr>
              <w:spacing w:line="400" w:lineRule="exact"/>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具有国家注册造价工程师资格的造价工程师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资格，每提供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1人得</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分，满分</w:t>
            </w: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分。</w:t>
            </w:r>
          </w:p>
          <w:p w14:paraId="4F41C586">
            <w:pPr>
              <w:tabs>
                <w:tab w:val="left" w:pos="653"/>
              </w:tabs>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供应商需提供以上人员的身份证、资格证书和注册证书（含变更注册登记栏页（如需））的复印件及供应商为其缴交的磋商截止时间前六个月（不含磋商截止时间的当月）任一月份的社保证明材料。未按上述提供证明材料的不得分。</w:t>
            </w:r>
          </w:p>
        </w:tc>
        <w:tc>
          <w:tcPr>
            <w:tcW w:w="1098" w:type="dxa"/>
            <w:vAlign w:val="center"/>
          </w:tcPr>
          <w:p w14:paraId="3946131B">
            <w:pPr>
              <w:spacing w:line="360" w:lineRule="auto"/>
              <w:jc w:val="center"/>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p>
        </w:tc>
      </w:tr>
      <w:tr w14:paraId="0E195F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A247648">
            <w:pPr>
              <w:spacing w:line="360"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p>
        </w:tc>
        <w:tc>
          <w:tcPr>
            <w:tcW w:w="7229" w:type="dxa"/>
            <w:vAlign w:val="center"/>
          </w:tcPr>
          <w:p w14:paraId="1098964D">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在厦门具有固定办公场所建筑面积500m</w:t>
            </w:r>
            <w:r>
              <w:rPr>
                <w:rFonts w:hint="eastAsia" w:asciiTheme="minorEastAsia" w:hAnsiTheme="minorEastAsia" w:eastAsiaTheme="minorEastAsia" w:cstheme="minorEastAsia"/>
                <w:color w:val="000000" w:themeColor="text1"/>
                <w:sz w:val="24"/>
                <w:szCs w:val="24"/>
                <w:vertAlign w:val="super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及以上的得3分；200m</w:t>
            </w:r>
            <w:r>
              <w:rPr>
                <w:rFonts w:hint="eastAsia" w:asciiTheme="minorEastAsia" w:hAnsiTheme="minorEastAsia" w:eastAsiaTheme="minorEastAsia" w:cstheme="minorEastAsia"/>
                <w:color w:val="000000" w:themeColor="text1"/>
                <w:sz w:val="24"/>
                <w:szCs w:val="24"/>
                <w:vertAlign w:val="super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及以上，500m²以下的得</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r>
              <w:rPr>
                <w:rFonts w:hint="eastAsia" w:asciiTheme="minorEastAsia" w:hAnsiTheme="minorEastAsia" w:cstheme="minorEastAsia"/>
                <w:color w:val="000000" w:themeColor="text1"/>
                <w:sz w:val="24"/>
                <w:szCs w:val="24"/>
                <w:lang w:val="en-US" w:eastAsia="zh-CN"/>
                <w14:textFill>
                  <w14:solidFill>
                    <w14:schemeClr w14:val="tx1"/>
                  </w14:solidFill>
                </w14:textFill>
              </w:rPr>
              <w:t>200</w:t>
            </w:r>
            <w:r>
              <w:rPr>
                <w:rFonts w:hint="eastAsia" w:asciiTheme="minorEastAsia" w:hAnsiTheme="minorEastAsia" w:eastAsiaTheme="minorEastAsia" w:cstheme="minorEastAsia"/>
                <w:color w:val="000000" w:themeColor="text1"/>
                <w:sz w:val="24"/>
                <w:szCs w:val="24"/>
                <w14:textFill>
                  <w14:solidFill>
                    <w14:schemeClr w14:val="tx1"/>
                  </w14:solidFill>
                </w14:textFill>
              </w:rPr>
              <w:t>m</w:t>
            </w:r>
            <w:r>
              <w:rPr>
                <w:rFonts w:hint="eastAsia" w:asciiTheme="minorEastAsia" w:hAnsiTheme="minorEastAsia" w:eastAsiaTheme="minorEastAsia" w:cstheme="minorEastAsia"/>
                <w:color w:val="000000" w:themeColor="text1"/>
                <w:sz w:val="24"/>
                <w:szCs w:val="24"/>
                <w:vertAlign w:val="super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以下</w:t>
            </w:r>
            <w:r>
              <w:rPr>
                <w:rFonts w:hint="eastAsia" w:asciiTheme="minorEastAsia" w:hAnsiTheme="minorEastAsia" w:cstheme="minorEastAsia"/>
                <w:color w:val="000000" w:themeColor="text1"/>
                <w:sz w:val="24"/>
                <w:szCs w:val="24"/>
                <w:lang w:eastAsia="zh-CN"/>
                <w14:textFill>
                  <w14:solidFill>
                    <w14:schemeClr w14:val="tx1"/>
                  </w14:solidFill>
                </w14:textFill>
              </w:rPr>
              <w:t>的得</w:t>
            </w:r>
            <w:r>
              <w:rPr>
                <w:rFonts w:hint="eastAsia" w:asciiTheme="minorEastAsia" w:hAnsiTheme="minorEastAsia" w:cstheme="minorEastAsia"/>
                <w:color w:val="000000" w:themeColor="text1"/>
                <w:sz w:val="24"/>
                <w:szCs w:val="24"/>
                <w:lang w:val="en-US" w:eastAsia="zh-CN"/>
                <w14:textFill>
                  <w14:solidFill>
                    <w14:schemeClr w14:val="tx1"/>
                  </w14:solidFill>
                </w14:textFill>
              </w:rPr>
              <w:t>1分。</w:t>
            </w:r>
            <w:r>
              <w:rPr>
                <w:rFonts w:hint="eastAsia" w:asciiTheme="minorEastAsia" w:hAnsiTheme="minorEastAsia" w:eastAsiaTheme="minorEastAsia" w:cstheme="minorEastAsia"/>
                <w:color w:val="000000" w:themeColor="text1"/>
                <w:sz w:val="24"/>
                <w:szCs w:val="24"/>
                <w14:textFill>
                  <w14:solidFill>
                    <w14:schemeClr w14:val="tx1"/>
                  </w14:solidFill>
                </w14:textFill>
              </w:rPr>
              <w:t>（满分3分）</w:t>
            </w:r>
          </w:p>
          <w:p w14:paraId="23DB68A6">
            <w:pPr>
              <w:spacing w:line="360" w:lineRule="auto"/>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注：若是自有的需提供营业场所产权证（所有权人应与遴选响应招标代理机构一致）；若是租赁的需提供场所租赁合同复印件（承租人应与遴选响应招标代理机构名称一致）。营业场所的地址必须与营业执照的住所地址或经营场所地址一致，不一致的不得分。</w:t>
            </w:r>
          </w:p>
        </w:tc>
        <w:tc>
          <w:tcPr>
            <w:tcW w:w="1098" w:type="dxa"/>
            <w:vAlign w:val="center"/>
          </w:tcPr>
          <w:p w14:paraId="283AFCAE">
            <w:pPr>
              <w:spacing w:line="360" w:lineRule="auto"/>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p>
        </w:tc>
      </w:tr>
      <w:tr w14:paraId="3B47C5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7890660">
            <w:pPr>
              <w:spacing w:line="360" w:lineRule="auto"/>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8</w:t>
            </w:r>
          </w:p>
        </w:tc>
        <w:tc>
          <w:tcPr>
            <w:tcW w:w="7229" w:type="dxa"/>
            <w:vAlign w:val="center"/>
          </w:tcPr>
          <w:p w14:paraId="04B97819">
            <w:pPr>
              <w:tabs>
                <w:tab w:val="left" w:pos="833"/>
              </w:tabs>
              <w:spacing w:line="360" w:lineRule="auto"/>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承诺在承接具体项目时，</w:t>
            </w:r>
            <w:r>
              <w:rPr>
                <w:rFonts w:hint="eastAsia" w:asciiTheme="minorEastAsia" w:hAnsiTheme="minorEastAsia" w:eastAsiaTheme="minorEastAsia" w:cstheme="minorEastAsia"/>
                <w:color w:val="000000" w:themeColor="text1"/>
                <w:sz w:val="24"/>
                <w:szCs w:val="24"/>
                <w:lang w:val="zh-TW" w:eastAsia="zh-TW"/>
                <w14:textFill>
                  <w14:solidFill>
                    <w14:schemeClr w14:val="tx1"/>
                  </w14:solidFill>
                </w14:textFill>
              </w:rPr>
              <w:t>按照福建省现行的项目监理机构人员配备标准的要求</w:t>
            </w:r>
            <w:r>
              <w:rPr>
                <w:rFonts w:hint="eastAsia" w:asciiTheme="minorEastAsia" w:hAnsiTheme="minorEastAsia" w:eastAsiaTheme="minorEastAsia" w:cstheme="minorEastAsia"/>
                <w:color w:val="000000" w:themeColor="text1"/>
                <w:sz w:val="24"/>
                <w:szCs w:val="24"/>
                <w:lang w:val="zh-TW"/>
                <w14:textFill>
                  <w14:solidFill>
                    <w14:schemeClr w14:val="tx1"/>
                  </w14:solidFill>
                </w14:textFill>
              </w:rPr>
              <w:t>和发包人的要求</w:t>
            </w:r>
            <w:r>
              <w:rPr>
                <w:rFonts w:hint="eastAsia" w:asciiTheme="minorEastAsia" w:hAnsiTheme="minorEastAsia" w:eastAsiaTheme="minorEastAsia" w:cstheme="minorEastAsia"/>
                <w:color w:val="000000" w:themeColor="text1"/>
                <w:sz w:val="24"/>
                <w:szCs w:val="24"/>
                <w:lang w:val="zh-TW" w:eastAsia="zh-TW"/>
                <w14:textFill>
                  <w14:solidFill>
                    <w14:schemeClr w14:val="tx1"/>
                  </w14:solidFill>
                </w14:textFill>
              </w:rPr>
              <w:t>，配备监理</w:t>
            </w:r>
            <w:r>
              <w:rPr>
                <w:rFonts w:hint="eastAsia" w:asciiTheme="minorEastAsia" w:hAnsiTheme="minorEastAsia" w:eastAsiaTheme="minorEastAsia" w:cstheme="minorEastAsia"/>
                <w:color w:val="000000" w:themeColor="text1"/>
                <w:sz w:val="24"/>
                <w:szCs w:val="24"/>
                <w:lang w:val="zh-TW"/>
                <w14:textFill>
                  <w14:solidFill>
                    <w14:schemeClr w14:val="tx1"/>
                  </w14:solidFill>
                </w14:textFill>
              </w:rPr>
              <w:t>机构</w:t>
            </w:r>
            <w:r>
              <w:rPr>
                <w:rFonts w:hint="eastAsia" w:asciiTheme="minorEastAsia" w:hAnsiTheme="minorEastAsia" w:eastAsiaTheme="minorEastAsia" w:cstheme="minorEastAsia"/>
                <w:color w:val="000000" w:themeColor="text1"/>
                <w:sz w:val="24"/>
                <w:szCs w:val="24"/>
                <w:lang w:val="zh-TW" w:eastAsia="zh-TW"/>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lang w:val="zh-TW"/>
                <w14:textFill>
                  <w14:solidFill>
                    <w14:schemeClr w14:val="tx1"/>
                  </w14:solidFill>
                </w14:textFill>
              </w:rPr>
              <w:t>。</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提供承诺函得3分；未提供或不符合上述要求的不得分。（承诺函格式自拟）</w:t>
            </w:r>
          </w:p>
        </w:tc>
        <w:tc>
          <w:tcPr>
            <w:tcW w:w="1098" w:type="dxa"/>
            <w:vAlign w:val="center"/>
          </w:tcPr>
          <w:p w14:paraId="18FC0500">
            <w:pPr>
              <w:spacing w:line="360" w:lineRule="auto"/>
              <w:jc w:val="cente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p>
        </w:tc>
      </w:tr>
      <w:tr w14:paraId="49D5EC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8AC002A">
            <w:pPr>
              <w:spacing w:line="360" w:lineRule="auto"/>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9</w:t>
            </w:r>
          </w:p>
        </w:tc>
        <w:tc>
          <w:tcPr>
            <w:tcW w:w="7229" w:type="dxa"/>
            <w:vAlign w:val="center"/>
          </w:tcPr>
          <w:p w14:paraId="66B8FB69">
            <w:pPr>
              <w:tabs>
                <w:tab w:val="left" w:pos="833"/>
              </w:tabs>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承诺按现行的相关规定、发包人的合同条款及内控管理制度等完成具体项目的监理及后续结算等工作。</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提供承诺函得3分；未提供或不符合上述要求的不得分。（承诺函格式自拟）</w:t>
            </w:r>
          </w:p>
        </w:tc>
        <w:tc>
          <w:tcPr>
            <w:tcW w:w="1098" w:type="dxa"/>
            <w:vAlign w:val="center"/>
          </w:tcPr>
          <w:p w14:paraId="21444AB5">
            <w:pPr>
              <w:spacing w:line="360" w:lineRule="auto"/>
              <w:jc w:val="center"/>
              <w:rPr>
                <w:rFonts w:hint="default" w:asciiTheme="minorEastAsia" w:hAnsi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p>
        </w:tc>
      </w:tr>
      <w:tr w14:paraId="2A745B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8B6F235">
            <w:pPr>
              <w:spacing w:line="360" w:lineRule="auto"/>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10</w:t>
            </w:r>
          </w:p>
        </w:tc>
        <w:tc>
          <w:tcPr>
            <w:tcW w:w="7229" w:type="dxa"/>
            <w:vAlign w:val="center"/>
          </w:tcPr>
          <w:p w14:paraId="4BCC06E7">
            <w:pPr>
              <w:spacing w:line="360" w:lineRule="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拟提供的增值服务进行评价：每提供一项有利于采购人的增值服务得</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分，满分</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分。</w:t>
            </w:r>
          </w:p>
        </w:tc>
        <w:tc>
          <w:tcPr>
            <w:tcW w:w="1098" w:type="dxa"/>
            <w:vAlign w:val="center"/>
          </w:tcPr>
          <w:p w14:paraId="4C0A8F3C">
            <w:pPr>
              <w:spacing w:line="360" w:lineRule="auto"/>
              <w:jc w:val="cente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9</w:t>
            </w:r>
          </w:p>
        </w:tc>
      </w:tr>
      <w:tr w14:paraId="1587F6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B145A9F">
            <w:pPr>
              <w:spacing w:line="360" w:lineRule="auto"/>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11</w:t>
            </w:r>
          </w:p>
        </w:tc>
        <w:tc>
          <w:tcPr>
            <w:tcW w:w="7229" w:type="dxa"/>
            <w:vAlign w:val="center"/>
          </w:tcPr>
          <w:p w14:paraId="2A01D5C9">
            <w:pPr>
              <w:widowControl/>
              <w:spacing w:before="100" w:beforeAutospacing="1" w:line="400" w:lineRule="exact"/>
              <w:jc w:val="lef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遴选响应监理单位承诺在《关于印发《建设工程监理与相关服务收费管理规定》的通知》（发改价格[2007]670号）和《关于市级财政性投融资建设项目 执行厦价房[2007]73号文的意见的通知》（厦发改投[2008]360号）收费标准的基础上每下浮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5%得1分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10分</w:t>
            </w:r>
          </w:p>
        </w:tc>
        <w:tc>
          <w:tcPr>
            <w:tcW w:w="1098" w:type="dxa"/>
            <w:vAlign w:val="center"/>
          </w:tcPr>
          <w:p w14:paraId="750EF060">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10</w:t>
            </w:r>
          </w:p>
        </w:tc>
      </w:tr>
      <w:tr w14:paraId="3D1E8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F25F8FF">
            <w:pPr>
              <w:spacing w:line="360" w:lineRule="auto"/>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12</w:t>
            </w:r>
          </w:p>
        </w:tc>
        <w:tc>
          <w:tcPr>
            <w:tcW w:w="7229" w:type="dxa"/>
            <w:vAlign w:val="center"/>
          </w:tcPr>
          <w:p w14:paraId="2C81E678">
            <w:pPr>
              <w:spacing w:line="360" w:lineRule="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提供的数据保密制度、保密承诺、资料安全保证措施，完整可行的每提供一项得</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分，满分</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分；未提供措施或者措施不可行或不符合项目需求的不得分。</w:t>
            </w:r>
          </w:p>
        </w:tc>
        <w:tc>
          <w:tcPr>
            <w:tcW w:w="1098" w:type="dxa"/>
            <w:vAlign w:val="center"/>
          </w:tcPr>
          <w:p w14:paraId="383C48D4">
            <w:pPr>
              <w:spacing w:line="360" w:lineRule="auto"/>
              <w:jc w:val="cente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p>
        </w:tc>
      </w:tr>
      <w:tr w14:paraId="65E240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42C78B5">
            <w:pPr>
              <w:spacing w:line="360" w:lineRule="auto"/>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13</w:t>
            </w:r>
          </w:p>
        </w:tc>
        <w:tc>
          <w:tcPr>
            <w:tcW w:w="7229" w:type="dxa"/>
            <w:vAlign w:val="center"/>
          </w:tcPr>
          <w:p w14:paraId="4AAADE1A">
            <w:pPr>
              <w:spacing w:line="360" w:lineRule="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有司法部颁发的法律职业资格证书，或有聘任律师事务所作法律顾问的得3分，否则不得分。</w:t>
            </w:r>
          </w:p>
          <w:p w14:paraId="312F9B14">
            <w:pPr>
              <w:spacing w:line="360" w:lineRule="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注：须提供法律职业资格证书，或与律师事务所签订的合同复印件及法律顾问复印件，否则不得分。</w:t>
            </w:r>
          </w:p>
        </w:tc>
        <w:tc>
          <w:tcPr>
            <w:tcW w:w="1098" w:type="dxa"/>
            <w:vAlign w:val="center"/>
          </w:tcPr>
          <w:p w14:paraId="72188EF0">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1A383D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83" w:hRule="atLeast"/>
        </w:trPr>
        <w:tc>
          <w:tcPr>
            <w:tcW w:w="959" w:type="dxa"/>
            <w:vAlign w:val="center"/>
          </w:tcPr>
          <w:p w14:paraId="4CAA5105">
            <w:pPr>
              <w:spacing w:line="360" w:lineRule="auto"/>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14</w:t>
            </w:r>
          </w:p>
        </w:tc>
        <w:tc>
          <w:tcPr>
            <w:tcW w:w="7229" w:type="dxa"/>
            <w:vAlign w:val="center"/>
          </w:tcPr>
          <w:p w14:paraId="4696B5C1">
            <w:pPr>
              <w:spacing w:line="360" w:lineRule="auto"/>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遴选响应监理单位</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监理服务</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重点、难点分析，以及对策及措施进行评 价：方案详细、具体、完整、合理可行、重点突出、可操作性强且有利于服 务对象的得10分；方案较详细具体，具有较强的可操作性，虽有缺漏，但能 够把握重点、不影响项目实施的得7分；方案存在缺漏，但基本满足项目实 施需要的得3分；未提供或不可行的不得分。</w:t>
            </w:r>
          </w:p>
        </w:tc>
        <w:tc>
          <w:tcPr>
            <w:tcW w:w="1098" w:type="dxa"/>
            <w:vAlign w:val="center"/>
          </w:tcPr>
          <w:p w14:paraId="75BDE38B">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10</w:t>
            </w:r>
          </w:p>
        </w:tc>
      </w:tr>
    </w:tbl>
    <w:p w14:paraId="6EA007B1">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备注:本评分细则仅适用于本单位代理机构遴选的一种方法，不与政府采购综合评分法等同，本院附有最终解释权。</w:t>
      </w:r>
    </w:p>
    <w:p w14:paraId="34AF22F8">
      <w:pPr>
        <w:spacing w:before="312" w:beforeLines="100" w:after="312" w:afterLines="100"/>
        <w:rPr>
          <w:b/>
          <w:color w:val="FF0000"/>
          <w:sz w:val="32"/>
        </w:rPr>
      </w:pPr>
      <w:r>
        <w:rPr>
          <w:rFonts w:hint="eastAsia"/>
          <w:b/>
          <w:color w:val="FF0000"/>
          <w:sz w:val="32"/>
        </w:rPr>
        <w:t>各参选公司，需做出响应表，针对上述评分标准自行打分，并将对应的证明材料页码标注清楚（请将自行打分表独立出来，用WORD的格式连同报名材料，一并发送到报名邮箱</w:t>
      </w:r>
      <w:r>
        <w:rPr>
          <w:rFonts w:hint="eastAsia"/>
          <w:b/>
          <w:color w:val="FF0000"/>
          <w:sz w:val="32"/>
          <w:lang w:val="en-US" w:eastAsia="zh-CN"/>
        </w:rPr>
        <w:t>287971078@qq.com</w:t>
      </w:r>
      <w:r>
        <w:rPr>
          <w:rFonts w:hint="eastAsia"/>
          <w:b/>
          <w:color w:val="FF0000"/>
          <w:sz w:val="32"/>
        </w:rPr>
        <w:t>）。</w:t>
      </w:r>
    </w:p>
    <w:p w14:paraId="6F6D8212">
      <w:pPr>
        <w:spacing w:before="312" w:beforeLines="100" w:after="312" w:afterLines="100"/>
        <w:rPr>
          <w:b/>
          <w:sz w:val="32"/>
        </w:rPr>
      </w:pPr>
      <w:r>
        <w:rPr>
          <w:rFonts w:hint="eastAsia"/>
          <w:b/>
          <w:sz w:val="32"/>
        </w:rPr>
        <w:t>三、确定入围名单</w:t>
      </w:r>
    </w:p>
    <w:p w14:paraId="6107D0FB">
      <w:pPr>
        <w:ind w:firstLine="560" w:firstLineChars="200"/>
        <w:rPr>
          <w:rFonts w:asciiTheme="minorEastAsia" w:hAnsiTheme="minorEastAsia"/>
          <w:sz w:val="28"/>
        </w:rPr>
      </w:pPr>
      <w:r>
        <w:rPr>
          <w:rFonts w:hint="eastAsia" w:asciiTheme="minorEastAsia" w:hAnsiTheme="minorEastAsia"/>
          <w:sz w:val="28"/>
        </w:rPr>
        <w:t>1、根据</w:t>
      </w:r>
      <w:r>
        <w:rPr>
          <w:rFonts w:hint="eastAsia" w:asciiTheme="minorEastAsia" w:hAnsiTheme="minorEastAsia"/>
          <w:sz w:val="28"/>
          <w:lang w:eastAsia="zh-CN"/>
        </w:rPr>
        <w:t>遴选响应监理单位</w:t>
      </w:r>
      <w:r>
        <w:rPr>
          <w:rFonts w:hint="eastAsia" w:asciiTheme="minorEastAsia" w:hAnsiTheme="minorEastAsia"/>
          <w:sz w:val="28"/>
        </w:rPr>
        <w:t>的综合总得分由高到低进行排序；总得分相同的，根据客观分总分排名进行排序；若客观分得分仍相同的，按照第</w:t>
      </w:r>
      <w:r>
        <w:rPr>
          <w:rFonts w:hint="eastAsia" w:asciiTheme="minorEastAsia" w:hAnsiTheme="minorEastAsia"/>
          <w:sz w:val="28"/>
          <w:lang w:val="en-US" w:eastAsia="zh-CN"/>
        </w:rPr>
        <w:t>4</w:t>
      </w:r>
      <w:r>
        <w:rPr>
          <w:rFonts w:hint="eastAsia" w:asciiTheme="minorEastAsia" w:hAnsiTheme="minorEastAsia"/>
          <w:sz w:val="28"/>
        </w:rPr>
        <w:t>项服务内容得分进行排序，若</w:t>
      </w:r>
      <w:bookmarkStart w:id="0" w:name="_GoBack"/>
      <w:bookmarkEnd w:id="0"/>
      <w:r>
        <w:rPr>
          <w:rFonts w:hint="eastAsia" w:asciiTheme="minorEastAsia" w:hAnsiTheme="minorEastAsia"/>
          <w:sz w:val="28"/>
        </w:rPr>
        <w:t>第</w:t>
      </w:r>
      <w:r>
        <w:rPr>
          <w:rFonts w:hint="eastAsia" w:asciiTheme="minorEastAsia" w:hAnsiTheme="minorEastAsia"/>
          <w:sz w:val="28"/>
          <w:lang w:val="en-US" w:eastAsia="zh-CN"/>
        </w:rPr>
        <w:t>4</w:t>
      </w:r>
      <w:r>
        <w:rPr>
          <w:rFonts w:hint="eastAsia" w:asciiTheme="minorEastAsia" w:hAnsiTheme="minorEastAsia"/>
          <w:sz w:val="28"/>
        </w:rPr>
        <w:t>项得分仍相同，则通过随机抽取的方式排列。</w:t>
      </w:r>
    </w:p>
    <w:p w14:paraId="69F4BBA7">
      <w:pPr>
        <w:ind w:firstLine="560" w:firstLineChars="200"/>
        <w:rPr>
          <w:rFonts w:asciiTheme="minorEastAsia" w:hAnsiTheme="minorEastAsia"/>
          <w:sz w:val="28"/>
        </w:rPr>
      </w:pPr>
      <w:r>
        <w:rPr>
          <w:rFonts w:hint="eastAsia" w:asciiTheme="minorEastAsia" w:hAnsiTheme="minorEastAsia"/>
          <w:sz w:val="28"/>
        </w:rPr>
        <w:t>2、按照</w:t>
      </w:r>
      <w:r>
        <w:rPr>
          <w:rFonts w:hint="eastAsia" w:asciiTheme="minorEastAsia" w:hAnsiTheme="minorEastAsia"/>
          <w:sz w:val="28"/>
          <w:lang w:eastAsia="zh-CN"/>
        </w:rPr>
        <w:t>遴选响应监理单位</w:t>
      </w:r>
      <w:r>
        <w:rPr>
          <w:rFonts w:hint="eastAsia" w:asciiTheme="minorEastAsia" w:hAnsiTheme="minorEastAsia"/>
          <w:sz w:val="28"/>
        </w:rPr>
        <w:t>的排列顺序，取综合得分前三名为入围</w:t>
      </w:r>
      <w:r>
        <w:rPr>
          <w:rFonts w:hint="eastAsia" w:asciiTheme="minorEastAsia" w:hAnsiTheme="minorEastAsia"/>
          <w:sz w:val="28"/>
          <w:lang w:eastAsia="zh-CN"/>
        </w:rPr>
        <w:t>监理</w:t>
      </w:r>
      <w:r>
        <w:rPr>
          <w:rFonts w:hint="eastAsia" w:asciiTheme="minorEastAsia" w:hAnsiTheme="minorEastAsia"/>
          <w:sz w:val="28"/>
        </w:rPr>
        <w:t>单位。取第4至第6名作为入围备选机构。</w:t>
      </w:r>
    </w:p>
    <w:p w14:paraId="32CCD132">
      <w:pPr>
        <w:ind w:firstLine="560" w:firstLineChars="200"/>
        <w:rPr>
          <w:rFonts w:asciiTheme="minorEastAsia" w:hAnsiTheme="minorEastAsia"/>
          <w:sz w:val="28"/>
        </w:rPr>
      </w:pPr>
      <w:r>
        <w:rPr>
          <w:rFonts w:hint="eastAsia" w:asciiTheme="minorEastAsia" w:hAnsiTheme="minorEastAsia"/>
          <w:sz w:val="28"/>
        </w:rPr>
        <w:t>3、在服务期内，若入围</w:t>
      </w:r>
      <w:r>
        <w:rPr>
          <w:rFonts w:hint="eastAsia" w:asciiTheme="minorEastAsia" w:hAnsiTheme="minorEastAsia"/>
          <w:sz w:val="28"/>
          <w:lang w:eastAsia="zh-CN"/>
        </w:rPr>
        <w:t>监理单位</w:t>
      </w:r>
      <w:r>
        <w:rPr>
          <w:rFonts w:hint="eastAsia" w:asciiTheme="minorEastAsia" w:hAnsiTheme="minorEastAsia"/>
          <w:sz w:val="28"/>
        </w:rPr>
        <w:t>被取消入围资格的，则由备选</w:t>
      </w:r>
      <w:r>
        <w:rPr>
          <w:rFonts w:hint="eastAsia" w:asciiTheme="minorEastAsia" w:hAnsiTheme="minorEastAsia"/>
          <w:sz w:val="28"/>
          <w:lang w:eastAsia="zh-CN"/>
        </w:rPr>
        <w:t>监理单位</w:t>
      </w:r>
      <w:r>
        <w:rPr>
          <w:rFonts w:hint="eastAsia" w:asciiTheme="minorEastAsia" w:hAnsiTheme="minorEastAsia"/>
          <w:sz w:val="28"/>
        </w:rPr>
        <w:t>递补。</w:t>
      </w:r>
    </w:p>
    <w:p w14:paraId="24BEF51D">
      <w:pPr>
        <w:ind w:firstLine="560" w:firstLineChars="200"/>
        <w:rPr>
          <w:rFonts w:asciiTheme="minorEastAsia" w:hAnsiTheme="minorEastAsia"/>
          <w:sz w:val="28"/>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0388">
    <w:pPr>
      <w:pStyle w:val="6"/>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6</w:t>
    </w:r>
    <w:r>
      <w:rPr>
        <w:rFonts w:asciiTheme="minorEastAsia" w:hAnsiTheme="minorEastAsia"/>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mEyMzYwYmMyMGRmNTRhNmE4MTgwNTEyYzQwMjQifQ=="/>
  </w:docVars>
  <w:rsids>
    <w:rsidRoot w:val="00AE7F82"/>
    <w:rsid w:val="0003173E"/>
    <w:rsid w:val="0013492A"/>
    <w:rsid w:val="001873DC"/>
    <w:rsid w:val="001B36F9"/>
    <w:rsid w:val="001E1B44"/>
    <w:rsid w:val="00200364"/>
    <w:rsid w:val="0026237C"/>
    <w:rsid w:val="002626AF"/>
    <w:rsid w:val="002C1DAE"/>
    <w:rsid w:val="00334B50"/>
    <w:rsid w:val="0033641A"/>
    <w:rsid w:val="00344111"/>
    <w:rsid w:val="003721EC"/>
    <w:rsid w:val="00386733"/>
    <w:rsid w:val="003A08DF"/>
    <w:rsid w:val="003D3E98"/>
    <w:rsid w:val="003F0C40"/>
    <w:rsid w:val="00435854"/>
    <w:rsid w:val="0046705A"/>
    <w:rsid w:val="004F4346"/>
    <w:rsid w:val="0059419F"/>
    <w:rsid w:val="005D21A3"/>
    <w:rsid w:val="005D580A"/>
    <w:rsid w:val="00614396"/>
    <w:rsid w:val="006E0F16"/>
    <w:rsid w:val="00743E70"/>
    <w:rsid w:val="00752345"/>
    <w:rsid w:val="0086118E"/>
    <w:rsid w:val="008C1FBB"/>
    <w:rsid w:val="00972762"/>
    <w:rsid w:val="00A3797A"/>
    <w:rsid w:val="00A97EC4"/>
    <w:rsid w:val="00AE7F82"/>
    <w:rsid w:val="00B40288"/>
    <w:rsid w:val="00B451E5"/>
    <w:rsid w:val="00B97EEA"/>
    <w:rsid w:val="00BB4F3D"/>
    <w:rsid w:val="00BF033B"/>
    <w:rsid w:val="00C25EE5"/>
    <w:rsid w:val="00C31678"/>
    <w:rsid w:val="00C323BA"/>
    <w:rsid w:val="00CB4291"/>
    <w:rsid w:val="00CC3C2A"/>
    <w:rsid w:val="00D02925"/>
    <w:rsid w:val="00E57764"/>
    <w:rsid w:val="00EE7149"/>
    <w:rsid w:val="00F03767"/>
    <w:rsid w:val="02714395"/>
    <w:rsid w:val="07D77390"/>
    <w:rsid w:val="0DD423A8"/>
    <w:rsid w:val="0E927087"/>
    <w:rsid w:val="1247170C"/>
    <w:rsid w:val="166B5873"/>
    <w:rsid w:val="16C25222"/>
    <w:rsid w:val="17931C0B"/>
    <w:rsid w:val="195E16BF"/>
    <w:rsid w:val="199915B0"/>
    <w:rsid w:val="1CC1168C"/>
    <w:rsid w:val="1E823B55"/>
    <w:rsid w:val="1FB64492"/>
    <w:rsid w:val="25116182"/>
    <w:rsid w:val="267A11BB"/>
    <w:rsid w:val="27D33301"/>
    <w:rsid w:val="2D6D7CCB"/>
    <w:rsid w:val="301D1535"/>
    <w:rsid w:val="320B7765"/>
    <w:rsid w:val="35074561"/>
    <w:rsid w:val="35D01D25"/>
    <w:rsid w:val="36CC46F5"/>
    <w:rsid w:val="3BE33974"/>
    <w:rsid w:val="3CF2522E"/>
    <w:rsid w:val="3D672041"/>
    <w:rsid w:val="3E484EBC"/>
    <w:rsid w:val="407976BD"/>
    <w:rsid w:val="443F5D1A"/>
    <w:rsid w:val="47E64557"/>
    <w:rsid w:val="4A9F36E4"/>
    <w:rsid w:val="4B855E33"/>
    <w:rsid w:val="504E3F66"/>
    <w:rsid w:val="51360251"/>
    <w:rsid w:val="539E7AFC"/>
    <w:rsid w:val="5495703C"/>
    <w:rsid w:val="555962BC"/>
    <w:rsid w:val="637F15E3"/>
    <w:rsid w:val="65ED4F2A"/>
    <w:rsid w:val="6A737C6B"/>
    <w:rsid w:val="6A864E72"/>
    <w:rsid w:val="6A8F5B59"/>
    <w:rsid w:val="6DD14057"/>
    <w:rsid w:val="72A921D9"/>
    <w:rsid w:val="7D0C4600"/>
    <w:rsid w:val="7E487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left="425"/>
      <w:jc w:val="left"/>
    </w:pPr>
    <w:rPr>
      <w:rFonts w:ascii="Calibri" w:hAnsi="Calibri" w:eastAsia="宋体" w:cs="Times New Roman"/>
      <w:kern w:val="0"/>
      <w:sz w:val="20"/>
      <w:szCs w:val="20"/>
      <w:lang w:eastAsia="en-US"/>
    </w:rPr>
  </w:style>
  <w:style w:type="paragraph" w:styleId="3">
    <w:name w:val="Body Text"/>
    <w:basedOn w:val="1"/>
    <w:next w:val="1"/>
    <w:qFormat/>
    <w:uiPriority w:val="1"/>
    <w:rPr>
      <w:rFonts w:ascii="宋体" w:hAnsi="宋体" w:cs="宋体"/>
      <w:kern w:val="0"/>
      <w:sz w:val="24"/>
      <w:lang w:val="zh-CN" w:bidi="zh-CN"/>
    </w:rPr>
  </w:style>
  <w:style w:type="paragraph" w:styleId="4">
    <w:name w:val="Body Text Indent"/>
    <w:basedOn w:val="1"/>
    <w:next w:val="1"/>
    <w:qFormat/>
    <w:uiPriority w:val="99"/>
    <w:pPr>
      <w:ind w:left="-4" w:leftChars="-2" w:firstLine="560" w:firstLineChars="200"/>
    </w:pPr>
    <w:rPr>
      <w:rFonts w:ascii="宋体"/>
      <w:sz w:val="28"/>
    </w:rPr>
  </w:style>
  <w:style w:type="paragraph" w:styleId="5">
    <w:name w:val="Balloon Text"/>
    <w:basedOn w:val="1"/>
    <w:link w:val="1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120"/>
      <w:ind w:left="420" w:leftChars="200" w:firstLine="420"/>
    </w:pPr>
    <w:rPr>
      <w:rFonts w:ascii="Times New Roman"/>
      <w:sz w:val="21"/>
      <w:szCs w:val="21"/>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批注框文本 Char"/>
    <w:basedOn w:val="11"/>
    <w:link w:val="5"/>
    <w:semiHidden/>
    <w:qFormat/>
    <w:uiPriority w:val="99"/>
    <w:rPr>
      <w:sz w:val="18"/>
      <w:szCs w:val="18"/>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5</Pages>
  <Words>1253</Words>
  <Characters>1279</Characters>
  <Lines>21</Lines>
  <Paragraphs>6</Paragraphs>
  <TotalTime>11</TotalTime>
  <ScaleCrop>false</ScaleCrop>
  <LinksUpToDate>false</LinksUpToDate>
  <CharactersWithSpaces>1279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2023-06-13T09:22:00Z</dcterms:created>
  <dc:creator>H</dc:creator>
  <cp:lastModifiedBy>叶阿娜</cp:lastModifiedBy>
  <cp:lastPrinted>2025-05-06T11:02:21Z</cp:lastPrinted>
  <dcterms:modified xsi:type="dcterms:W3CDTF">2025-05-06T11:06:03Z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11B6B8324D954F9C8F53CA089920F0AF_13</vt:lpwstr>
  </property>
  <property fmtid="{D5CDD505-2E9C-101B-9397-08002B2CF9AE}" pid="4" name="KSOTemplateDocerSaveRecord">
    <vt:lpwstr>eyJoZGlkIjoiODUxY2Y5ZjhhZDMxZjkzZjFmMzQzN2Y0OWQyNThjZTQiLCJ1c2VySWQiOiIxMTYwMTY5NzcyIn0=</vt:lpwstr>
  </property>
</Properties>
</file>