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rPr>
          <w:rFonts w:hint="eastAsia"/>
        </w:rPr>
        <w:t>项目内容与要求</w:t>
      </w:r>
    </w:p>
    <w:p>
      <w:pPr>
        <w:pStyle w:val="3"/>
      </w:pPr>
      <w:r>
        <w:rPr>
          <w:rFonts w:hint="eastAsia"/>
        </w:rPr>
        <w:t>项目名称</w:t>
      </w:r>
    </w:p>
    <w:p>
      <w:r>
        <w:rPr>
          <w:rFonts w:hint="eastAsia"/>
        </w:rPr>
        <w:t>项目名称：PDA维保服务</w:t>
      </w:r>
    </w:p>
    <w:p>
      <w:pPr>
        <w:pStyle w:val="3"/>
      </w:pPr>
      <w:r>
        <w:rPr>
          <w:rFonts w:hint="eastAsia"/>
        </w:rPr>
        <w:t>项目概况</w:t>
      </w:r>
    </w:p>
    <w:p>
      <w:pPr>
        <w:ind w:firstLine="420"/>
      </w:pPr>
      <w:r>
        <w:rPr>
          <w:rFonts w:hint="eastAsia"/>
        </w:rPr>
        <w:t>1、现阶段医院各科室均配备数量不等的PDA，相关设备使用频率高，部分设备已超过原厂保修期限，如无法及时修复设备故障，可能影响业务效率与质量。</w:t>
      </w:r>
    </w:p>
    <w:p>
      <w:pPr>
        <w:ind w:firstLine="420"/>
      </w:pPr>
      <w:r>
        <w:rPr>
          <w:rFonts w:hint="eastAsia"/>
        </w:rPr>
        <w:t>2、需要对部分设备进行延保，对已超出原厂保修期的设备相关维保进行招标，并制定技术与服务标准，择优选择合适供应商，以利于相关设备维修，保障医院业务正常开展。</w:t>
      </w:r>
    </w:p>
    <w:p>
      <w:pPr>
        <w:ind w:firstLine="420"/>
      </w:pPr>
    </w:p>
    <w:p>
      <w:pPr>
        <w:pStyle w:val="3"/>
      </w:pPr>
      <w:r>
        <w:rPr>
          <w:rFonts w:hint="eastAsia"/>
        </w:rPr>
        <w:t>维保清单</w:t>
      </w:r>
    </w:p>
    <w:tbl>
      <w:tblPr>
        <w:tblStyle w:val="13"/>
        <w:tblW w:w="4998" w:type="pct"/>
        <w:tblInd w:w="0" w:type="dxa"/>
        <w:tblLayout w:type="autofit"/>
        <w:tblCellMar>
          <w:top w:w="0" w:type="dxa"/>
          <w:left w:w="108" w:type="dxa"/>
          <w:bottom w:w="0" w:type="dxa"/>
          <w:right w:w="108" w:type="dxa"/>
        </w:tblCellMar>
      </w:tblPr>
      <w:tblGrid>
        <w:gridCol w:w="1059"/>
        <w:gridCol w:w="1865"/>
        <w:gridCol w:w="1865"/>
        <w:gridCol w:w="1865"/>
        <w:gridCol w:w="1865"/>
      </w:tblGrid>
      <w:tr>
        <w:tblPrEx>
          <w:tblCellMar>
            <w:top w:w="0" w:type="dxa"/>
            <w:left w:w="108" w:type="dxa"/>
            <w:bottom w:w="0" w:type="dxa"/>
            <w:right w:w="108" w:type="dxa"/>
          </w:tblCellMar>
        </w:tblPrEx>
        <w:trPr>
          <w:trHeight w:val="468" w:hRule="atLeast"/>
        </w:trPr>
        <w:tc>
          <w:tcPr>
            <w:tcW w:w="621" w:type="pct"/>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Helvetica Neue" w:hAnsi="Helvetica Neue" w:eastAsia="Helvetica Neue" w:cs="Helvetica Neue"/>
                <w:b/>
                <w:bCs/>
                <w:color w:val="000000"/>
                <w:sz w:val="20"/>
                <w:szCs w:val="20"/>
              </w:rPr>
            </w:pPr>
            <w:r>
              <w:rPr>
                <w:rFonts w:ascii="Helvetica Neue" w:hAnsi="Helvetica Neue" w:eastAsia="Helvetica Neue" w:cs="Helvetica Neue"/>
                <w:b/>
                <w:bCs/>
                <w:color w:val="000000"/>
                <w:kern w:val="0"/>
                <w:sz w:val="20"/>
                <w:szCs w:val="20"/>
                <w:lang w:bidi="ar"/>
              </w:rPr>
              <w:t>序号</w:t>
            </w:r>
          </w:p>
        </w:tc>
        <w:tc>
          <w:tcPr>
            <w:tcW w:w="1094" w:type="pct"/>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品牌</w:t>
            </w:r>
          </w:p>
        </w:tc>
        <w:tc>
          <w:tcPr>
            <w:tcW w:w="1094" w:type="pct"/>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型号</w:t>
            </w:r>
          </w:p>
        </w:tc>
        <w:tc>
          <w:tcPr>
            <w:tcW w:w="1094" w:type="pct"/>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数量（台）</w:t>
            </w:r>
          </w:p>
        </w:tc>
        <w:tc>
          <w:tcPr>
            <w:tcW w:w="1094" w:type="pct"/>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备注</w:t>
            </w:r>
          </w:p>
        </w:tc>
      </w:tr>
      <w:tr>
        <w:tblPrEx>
          <w:tblCellMar>
            <w:top w:w="0" w:type="dxa"/>
            <w:left w:w="108" w:type="dxa"/>
            <w:bottom w:w="0" w:type="dxa"/>
            <w:right w:w="108" w:type="dxa"/>
          </w:tblCellMar>
        </w:tblPrEx>
        <w:trPr>
          <w:trHeight w:val="468" w:hRule="atLeast"/>
        </w:trPr>
        <w:tc>
          <w:tcPr>
            <w:tcW w:w="621" w:type="pct"/>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rFonts w:ascii="Helvetica Neue" w:hAnsi="Helvetica Neue" w:eastAsia="Helvetica Neue" w:cs="Helvetica Neue"/>
                <w:b/>
                <w:bCs/>
                <w:color w:val="000000"/>
                <w:sz w:val="20"/>
                <w:szCs w:val="20"/>
              </w:rPr>
            </w:pPr>
          </w:p>
        </w:tc>
        <w:tc>
          <w:tcPr>
            <w:tcW w:w="1094" w:type="pct"/>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rFonts w:ascii="宋体" w:hAnsi="宋体" w:eastAsia="宋体" w:cs="宋体"/>
                <w:b/>
                <w:bCs/>
                <w:color w:val="000000"/>
                <w:sz w:val="20"/>
                <w:szCs w:val="20"/>
              </w:rPr>
            </w:pPr>
          </w:p>
        </w:tc>
        <w:tc>
          <w:tcPr>
            <w:tcW w:w="1094" w:type="pct"/>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rFonts w:ascii="宋体" w:hAnsi="宋体" w:eastAsia="宋体" w:cs="宋体"/>
                <w:b/>
                <w:bCs/>
                <w:color w:val="000000"/>
                <w:sz w:val="20"/>
                <w:szCs w:val="20"/>
              </w:rPr>
            </w:pPr>
          </w:p>
        </w:tc>
        <w:tc>
          <w:tcPr>
            <w:tcW w:w="1094" w:type="pct"/>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rFonts w:ascii="宋体" w:hAnsi="宋体" w:eastAsia="宋体" w:cs="宋体"/>
                <w:b/>
                <w:bCs/>
                <w:color w:val="000000"/>
                <w:sz w:val="20"/>
                <w:szCs w:val="20"/>
              </w:rPr>
            </w:pPr>
          </w:p>
        </w:tc>
        <w:tc>
          <w:tcPr>
            <w:tcW w:w="1094" w:type="pct"/>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55" w:hRule="atLeast"/>
        </w:trPr>
        <w:tc>
          <w:tcPr>
            <w:tcW w:w="621"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94"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海信</w:t>
            </w:r>
          </w:p>
        </w:tc>
        <w:tc>
          <w:tcPr>
            <w:tcW w:w="1094"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N1s</w:t>
            </w:r>
          </w:p>
        </w:tc>
        <w:tc>
          <w:tcPr>
            <w:tcW w:w="1094"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54</w:t>
            </w:r>
          </w:p>
        </w:tc>
        <w:tc>
          <w:tcPr>
            <w:tcW w:w="1094"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eastAsia="宋体" w:cs="宋体"/>
                <w:color w:val="000000"/>
                <w:sz w:val="20"/>
                <w:szCs w:val="20"/>
              </w:rPr>
            </w:pPr>
          </w:p>
        </w:tc>
      </w:tr>
      <w:tr>
        <w:tblPrEx>
          <w:tblCellMar>
            <w:top w:w="0" w:type="dxa"/>
            <w:left w:w="108" w:type="dxa"/>
            <w:bottom w:w="0" w:type="dxa"/>
            <w:right w:w="108" w:type="dxa"/>
          </w:tblCellMar>
        </w:tblPrEx>
        <w:trPr>
          <w:trHeight w:val="255" w:hRule="atLeast"/>
        </w:trPr>
        <w:tc>
          <w:tcPr>
            <w:tcW w:w="621"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94"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海信</w:t>
            </w:r>
          </w:p>
        </w:tc>
        <w:tc>
          <w:tcPr>
            <w:tcW w:w="1094"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Nx</w:t>
            </w:r>
          </w:p>
        </w:tc>
        <w:tc>
          <w:tcPr>
            <w:tcW w:w="1094"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39</w:t>
            </w:r>
          </w:p>
        </w:tc>
        <w:tc>
          <w:tcPr>
            <w:tcW w:w="1094"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eastAsia="宋体" w:cs="宋体"/>
                <w:color w:val="000000"/>
                <w:sz w:val="20"/>
                <w:szCs w:val="20"/>
              </w:rPr>
            </w:pPr>
          </w:p>
        </w:tc>
      </w:tr>
      <w:tr>
        <w:tblPrEx>
          <w:tblCellMar>
            <w:top w:w="0" w:type="dxa"/>
            <w:left w:w="108" w:type="dxa"/>
            <w:bottom w:w="0" w:type="dxa"/>
            <w:right w:w="108" w:type="dxa"/>
          </w:tblCellMar>
        </w:tblPrEx>
        <w:trPr>
          <w:trHeight w:val="255" w:hRule="atLeast"/>
        </w:trPr>
        <w:tc>
          <w:tcPr>
            <w:tcW w:w="621"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eastAsia="宋体" w:cs="宋体"/>
                <w:sz w:val="20"/>
                <w:szCs w:val="20"/>
              </w:rPr>
            </w:pPr>
            <w:r>
              <w:rPr>
                <w:rFonts w:hint="eastAsia" w:ascii="宋体" w:hAnsi="宋体" w:eastAsia="宋体" w:cs="宋体"/>
                <w:kern w:val="0"/>
                <w:sz w:val="20"/>
                <w:szCs w:val="20"/>
                <w:lang w:bidi="ar"/>
              </w:rPr>
              <w:t>3</w:t>
            </w:r>
          </w:p>
        </w:tc>
        <w:tc>
          <w:tcPr>
            <w:tcW w:w="1094"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eastAsia="宋体" w:cs="宋体"/>
                <w:sz w:val="20"/>
                <w:szCs w:val="20"/>
              </w:rPr>
            </w:pPr>
            <w:r>
              <w:rPr>
                <w:rFonts w:hint="eastAsia" w:ascii="宋体" w:hAnsi="宋体" w:eastAsia="宋体" w:cs="宋体"/>
                <w:kern w:val="0"/>
                <w:sz w:val="20"/>
                <w:szCs w:val="20"/>
                <w:lang w:bidi="ar"/>
              </w:rPr>
              <w:t>识凌</w:t>
            </w:r>
          </w:p>
        </w:tc>
        <w:tc>
          <w:tcPr>
            <w:tcW w:w="1094"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eastAsia="宋体" w:cs="宋体"/>
                <w:sz w:val="20"/>
                <w:szCs w:val="20"/>
              </w:rPr>
            </w:pPr>
            <w:r>
              <w:rPr>
                <w:rFonts w:hint="eastAsia" w:ascii="宋体" w:hAnsi="宋体" w:eastAsia="宋体" w:cs="宋体"/>
                <w:kern w:val="0"/>
                <w:sz w:val="20"/>
                <w:szCs w:val="20"/>
                <w:lang w:bidi="ar"/>
              </w:rPr>
              <w:t>G03</w:t>
            </w:r>
          </w:p>
        </w:tc>
        <w:tc>
          <w:tcPr>
            <w:tcW w:w="1094"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eastAsia="宋体" w:cs="宋体"/>
                <w:sz w:val="20"/>
                <w:szCs w:val="20"/>
              </w:rPr>
            </w:pPr>
            <w:r>
              <w:rPr>
                <w:rFonts w:hint="eastAsia" w:ascii="宋体" w:hAnsi="宋体" w:eastAsia="宋体" w:cs="宋体"/>
                <w:kern w:val="0"/>
                <w:sz w:val="20"/>
                <w:szCs w:val="20"/>
                <w:lang w:bidi="ar"/>
              </w:rPr>
              <w:t>2</w:t>
            </w:r>
          </w:p>
        </w:tc>
        <w:tc>
          <w:tcPr>
            <w:tcW w:w="1094"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eastAsia="宋体" w:cs="宋体"/>
                <w:color w:val="000000"/>
                <w:sz w:val="20"/>
                <w:szCs w:val="20"/>
              </w:rPr>
            </w:pPr>
          </w:p>
        </w:tc>
      </w:tr>
      <w:tr>
        <w:tblPrEx>
          <w:tblCellMar>
            <w:top w:w="0" w:type="dxa"/>
            <w:left w:w="108" w:type="dxa"/>
            <w:bottom w:w="0" w:type="dxa"/>
            <w:right w:w="108" w:type="dxa"/>
          </w:tblCellMar>
        </w:tblPrEx>
        <w:trPr>
          <w:trHeight w:val="255" w:hRule="atLeast"/>
        </w:trPr>
        <w:tc>
          <w:tcPr>
            <w:tcW w:w="621" w:type="pct"/>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总计</w:t>
            </w:r>
          </w:p>
        </w:tc>
        <w:tc>
          <w:tcPr>
            <w:tcW w:w="1094" w:type="pct"/>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eastAsia="宋体" w:cs="宋体"/>
                <w:b/>
                <w:bCs/>
                <w:color w:val="000000"/>
                <w:sz w:val="20"/>
                <w:szCs w:val="20"/>
              </w:rPr>
            </w:pPr>
          </w:p>
        </w:tc>
        <w:tc>
          <w:tcPr>
            <w:tcW w:w="1094" w:type="pct"/>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eastAsia="宋体" w:cs="宋体"/>
                <w:b/>
                <w:bCs/>
                <w:color w:val="000000"/>
                <w:sz w:val="20"/>
                <w:szCs w:val="20"/>
              </w:rPr>
            </w:pPr>
          </w:p>
        </w:tc>
        <w:tc>
          <w:tcPr>
            <w:tcW w:w="1094"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95</w:t>
            </w:r>
          </w:p>
        </w:tc>
        <w:tc>
          <w:tcPr>
            <w:tcW w:w="1094" w:type="pct"/>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eastAsia="宋体" w:cs="宋体"/>
                <w:b/>
                <w:bCs/>
                <w:color w:val="000000"/>
                <w:sz w:val="20"/>
                <w:szCs w:val="20"/>
              </w:rPr>
            </w:pPr>
          </w:p>
        </w:tc>
      </w:tr>
    </w:tbl>
    <w:p/>
    <w:p>
      <w:pPr>
        <w:pStyle w:val="3"/>
      </w:pPr>
      <w:r>
        <w:rPr>
          <w:rFonts w:hint="eastAsia"/>
        </w:rPr>
        <w:t>服务要求</w:t>
      </w:r>
    </w:p>
    <w:p>
      <w:pPr>
        <w:numPr>
          <w:ilvl w:val="0"/>
          <w:numId w:val="2"/>
        </w:numPr>
      </w:pPr>
      <w:r>
        <w:rPr>
          <w:rFonts w:hint="eastAsia"/>
        </w:rPr>
        <w:t>报价：供应商以维保清单中的型号、数量，采取包年维修进行报价（包年维修报价说明：无论PDA一年内更换多少配件，医院不再另行支付费用，供应商报价应包含一年内为确保PDA正常运行所包含的所有硬件费用。</w:t>
      </w:r>
    </w:p>
    <w:p>
      <w:pPr>
        <w:numPr>
          <w:ilvl w:val="0"/>
          <w:numId w:val="2"/>
        </w:numPr>
      </w:pPr>
      <w:r>
        <w:rPr>
          <w:rFonts w:hint="eastAsia"/>
        </w:rPr>
        <w:t>报修服务方式：</w:t>
      </w:r>
    </w:p>
    <w:p>
      <w:pPr>
        <w:ind w:left="480" w:leftChars="200"/>
      </w:pPr>
      <w:r>
        <w:rPr>
          <w:rFonts w:ascii="Calibri" w:hAnsi="Calibri" w:cs="Calibri"/>
        </w:rPr>
        <w:t>①</w:t>
      </w:r>
      <w:r>
        <w:rPr>
          <w:rFonts w:hint="eastAsia"/>
        </w:rPr>
        <w:t>供应商需提供固定报修电话，方便使用科室报修故障及相关服务咨询。</w:t>
      </w:r>
    </w:p>
    <w:p>
      <w:pPr>
        <w:ind w:left="480" w:leftChars="200"/>
      </w:pPr>
      <w:r>
        <w:rPr>
          <w:rFonts w:ascii="Calibri" w:hAnsi="Calibri" w:cs="Calibri"/>
        </w:rPr>
        <w:t>②</w:t>
      </w:r>
      <w:r>
        <w:rPr>
          <w:rFonts w:hint="eastAsia"/>
        </w:rPr>
        <w:t>医院系统管理员可以随时通过QQ、微信、电话、传真及电子邮件等各种灵活的通讯手段向供应商进行设备报修及技术咨询，供应商应在0.5小时内响应。</w:t>
      </w:r>
    </w:p>
    <w:p>
      <w:pPr>
        <w:numPr>
          <w:ilvl w:val="0"/>
          <w:numId w:val="2"/>
        </w:numPr>
      </w:pPr>
      <w:r>
        <w:rPr>
          <w:rFonts w:hint="eastAsia"/>
        </w:rPr>
        <w:t>服务响应：供应商应安排专人负责医院的维保工作，提供7*24小时电话响应服务，若电话远程无法解决，2小时内到达现场。</w:t>
      </w:r>
    </w:p>
    <w:p>
      <w:pPr>
        <w:numPr>
          <w:ilvl w:val="0"/>
          <w:numId w:val="2"/>
        </w:numPr>
      </w:pPr>
      <w:r>
        <w:rPr>
          <w:rFonts w:hint="eastAsia"/>
        </w:rPr>
        <w:t>技术要求：供应商维保所更换的配件必须是原厂配件，保证医院正在使用设备的兼容性，如维修后出现应用系统不兼容，供应商应及时更换相关配件，保证系统正常运行。</w:t>
      </w:r>
    </w:p>
    <w:p>
      <w:pPr>
        <w:numPr>
          <w:ilvl w:val="0"/>
          <w:numId w:val="2"/>
        </w:numPr>
      </w:pPr>
      <w:r>
        <w:rPr>
          <w:rFonts w:hint="eastAsia"/>
        </w:rPr>
        <w:t>维修方案：简单故障现场解决，如需要更换配件，需采购人同意后，经双方签字确认，带回维修，维修周期不超过10个工作日。</w:t>
      </w:r>
    </w:p>
    <w:p>
      <w:pPr>
        <w:numPr>
          <w:ilvl w:val="0"/>
          <w:numId w:val="2"/>
        </w:numPr>
      </w:pPr>
      <w:r>
        <w:rPr>
          <w:rFonts w:hint="eastAsia"/>
        </w:rPr>
        <w:t>巡检要求：每个月进行一次全面巡检，并提供巡检报告。</w:t>
      </w:r>
    </w:p>
    <w:p>
      <w:pPr>
        <w:numPr>
          <w:ilvl w:val="0"/>
          <w:numId w:val="2"/>
        </w:numPr>
      </w:pPr>
      <w:r>
        <w:rPr>
          <w:rFonts w:hint="eastAsia"/>
        </w:rPr>
        <w:t>服务记录档案、特别情况记录、凭证、单据管理：每次维修需记录维修机型，序号，维修故障，维修情况，维修时间，维修后需让维修科室负责人签字确认。每月统计维修记录汇总报信息科。维修过程有相关单据需存档保留，待查。</w:t>
      </w:r>
    </w:p>
    <w:p>
      <w:pPr>
        <w:numPr>
          <w:ilvl w:val="0"/>
          <w:numId w:val="2"/>
        </w:numPr>
      </w:pPr>
      <w:r>
        <w:rPr>
          <w:rFonts w:hint="eastAsia"/>
        </w:rPr>
        <w:t>提供一套完整的突发事件应急处理方案。</w:t>
      </w:r>
    </w:p>
    <w:p>
      <w:pPr>
        <w:numPr>
          <w:ilvl w:val="0"/>
          <w:numId w:val="2"/>
        </w:numPr>
        <w:rPr>
          <w:rFonts w:ascii="宋体" w:hAnsi="宋体"/>
        </w:rPr>
      </w:pPr>
      <w:r>
        <w:rPr>
          <w:rFonts w:hint="eastAsia"/>
        </w:rPr>
        <w:t>备机方案：提供不低于6台的备用机，确认使用科室有足够的设备保障业务不中断。</w:t>
      </w:r>
    </w:p>
    <w:p>
      <w:pPr>
        <w:numPr>
          <w:ilvl w:val="0"/>
          <w:numId w:val="2"/>
        </w:numPr>
        <w:rPr>
          <w:rFonts w:ascii="宋体" w:hAnsi="宋体"/>
        </w:rPr>
      </w:pPr>
      <w:r>
        <w:rPr>
          <w:rFonts w:hint="eastAsia" w:ascii="宋体" w:hAnsi="宋体"/>
        </w:rPr>
        <w:t>供应商应根据本项目的实际情况和运维服务特点，制定合理的服务满意度考核方案，包括日常服务时效，服务人员态度，服务投诉处理等。</w:t>
      </w:r>
    </w:p>
    <w:p>
      <w:pPr>
        <w:numPr>
          <w:ilvl w:val="0"/>
          <w:numId w:val="2"/>
        </w:numPr>
      </w:pPr>
      <w:r>
        <w:t>现场踏勘：</w:t>
      </w:r>
    </w:p>
    <w:p>
      <w:pPr>
        <w:numPr>
          <w:ilvl w:val="0"/>
          <w:numId w:val="3"/>
        </w:numPr>
        <w:rPr>
          <w:vanish/>
        </w:rPr>
      </w:pPr>
    </w:p>
    <w:p>
      <w:pPr>
        <w:ind w:left="510"/>
        <w:rPr>
          <w:rFonts w:ascii="宋体" w:hAnsi="宋体"/>
          <w:bCs/>
        </w:rPr>
      </w:pPr>
      <w:r>
        <w:rPr>
          <w:rFonts w:hint="eastAsia" w:ascii="宋体" w:hAnsi="宋体"/>
          <w:bCs/>
        </w:rPr>
        <w:t>11.1本项目采购人不组织集中现场踏勘，供应商可自行对项目现场、原有设备及运维条件进行踏勘、测试，以便获取有关编制谈判文件和签署合同所涉及现场的资料。供应商应自行承担踏勘现场所发生的费用。</w:t>
      </w:r>
    </w:p>
    <w:p>
      <w:pPr>
        <w:ind w:left="510"/>
        <w:rPr>
          <w:rFonts w:ascii="宋体" w:hAnsi="宋体" w:cs="宋体"/>
          <w:kern w:val="0"/>
        </w:rPr>
      </w:pPr>
      <w:r>
        <w:rPr>
          <w:rFonts w:hint="eastAsia" w:ascii="宋体" w:hAnsi="宋体"/>
        </w:rPr>
        <w:t xml:space="preserve">11.2 </w:t>
      </w:r>
      <w:r>
        <w:rPr>
          <w:rFonts w:hint="eastAsia" w:ascii="宋体" w:hAnsi="宋体" w:cs="宋体"/>
          <w:kern w:val="0"/>
        </w:rPr>
        <w:t>供应商提供的现场踏勘报告，应</w:t>
      </w:r>
      <w:r>
        <w:rPr>
          <w:rFonts w:ascii="宋体" w:hAnsi="宋体" w:cs="宋体"/>
          <w:kern w:val="0"/>
        </w:rPr>
        <w:t>包含关于现场</w:t>
      </w:r>
      <w:r>
        <w:rPr>
          <w:rFonts w:hint="eastAsia" w:ascii="宋体" w:hAnsi="宋体" w:cs="宋体"/>
          <w:kern w:val="0"/>
        </w:rPr>
        <w:t>运维</w:t>
      </w:r>
      <w:r>
        <w:rPr>
          <w:rFonts w:ascii="宋体" w:hAnsi="宋体" w:cs="宋体"/>
          <w:kern w:val="0"/>
        </w:rPr>
        <w:t>条件、所需运维</w:t>
      </w:r>
      <w:r>
        <w:rPr>
          <w:rFonts w:hint="eastAsia" w:ascii="宋体" w:hAnsi="宋体" w:cs="宋体"/>
          <w:kern w:val="0"/>
        </w:rPr>
        <w:t>设备现状等</w:t>
      </w:r>
      <w:r>
        <w:rPr>
          <w:rFonts w:ascii="宋体" w:hAnsi="宋体" w:cs="宋体"/>
          <w:kern w:val="0"/>
        </w:rPr>
        <w:t>问题</w:t>
      </w:r>
      <w:r>
        <w:rPr>
          <w:rFonts w:hint="eastAsia" w:ascii="宋体" w:hAnsi="宋体" w:cs="宋体"/>
          <w:kern w:val="0"/>
        </w:rPr>
        <w:t>的</w:t>
      </w:r>
      <w:r>
        <w:rPr>
          <w:rFonts w:ascii="宋体" w:hAnsi="宋体" w:cs="宋体"/>
          <w:kern w:val="0"/>
        </w:rPr>
        <w:t>描述分析及解决措施</w:t>
      </w:r>
      <w:r>
        <w:rPr>
          <w:rFonts w:hint="eastAsia" w:ascii="宋体" w:hAnsi="宋体" w:cs="宋体"/>
          <w:kern w:val="0"/>
        </w:rPr>
        <w:t>，</w:t>
      </w:r>
      <w:r>
        <w:rPr>
          <w:rFonts w:ascii="宋体" w:hAnsi="宋体" w:cs="宋体"/>
          <w:kern w:val="0"/>
        </w:rPr>
        <w:t>附现场勘查图片不少于5张不同区域不同角度现场照片及文字说明</w:t>
      </w:r>
      <w:r>
        <w:rPr>
          <w:rFonts w:hint="eastAsia" w:ascii="宋体" w:hAnsi="宋体" w:cs="宋体"/>
          <w:kern w:val="0"/>
        </w:rPr>
        <w:t>。</w:t>
      </w:r>
    </w:p>
    <w:p>
      <w:pPr>
        <w:ind w:left="480" w:hanging="480" w:hangingChars="200"/>
        <w:rPr>
          <w:rFonts w:ascii="宋体" w:hAnsi="宋体"/>
          <w:bCs/>
        </w:rPr>
      </w:pPr>
      <w:r>
        <w:rPr>
          <w:rFonts w:hint="eastAsia" w:ascii="宋体" w:hAnsi="宋体" w:cs="宋体"/>
          <w:kern w:val="0"/>
        </w:rPr>
        <w:t xml:space="preserve">12. </w:t>
      </w:r>
      <w:r>
        <w:rPr>
          <w:rFonts w:hint="eastAsia" w:ascii="宋体" w:hAnsi="宋体"/>
        </w:rPr>
        <w:t>成交人须提供项目实施工作计划，经采购人同意后，严格执行。如果遇到问题，由成交人提出项目变更说明，经采购人确定后，修改计划。成交人必须进行项目跟踪和报告，建立项目检查制度。</w:t>
      </w:r>
    </w:p>
    <w:p>
      <w:pPr>
        <w:rPr>
          <w:rFonts w:ascii="宋体" w:hAnsi="宋体" w:cs="宋体"/>
          <w:color w:val="FF0000"/>
          <w:kern w:val="0"/>
        </w:rPr>
      </w:pPr>
    </w:p>
    <w:p>
      <w:pPr>
        <w:rPr>
          <w:rFonts w:ascii="宋体" w:hAnsi="宋体"/>
        </w:rPr>
      </w:pPr>
    </w:p>
    <w:p>
      <w:pPr>
        <w:pStyle w:val="3"/>
      </w:pPr>
      <w:r>
        <w:rPr>
          <w:rFonts w:hint="eastAsia"/>
        </w:rPr>
        <w:t>其它要求</w:t>
      </w:r>
    </w:p>
    <w:p>
      <w:pPr>
        <w:numPr>
          <w:ilvl w:val="0"/>
          <w:numId w:val="4"/>
        </w:numPr>
      </w:pPr>
      <w:r>
        <w:t>本文所述服务要求，应视为</w:t>
      </w:r>
      <w:r>
        <w:rPr>
          <w:rFonts w:hint="eastAsia"/>
        </w:rPr>
        <w:t>本项目</w:t>
      </w:r>
      <w:r>
        <w:t>所需的最低要求，如有遗漏，磋商响应供应商应予以补充。否则，一旦成交将认为磋商响应供应商认同遗漏部分并免费提供。</w:t>
      </w:r>
    </w:p>
    <w:p>
      <w:pPr>
        <w:numPr>
          <w:ilvl w:val="0"/>
          <w:numId w:val="4"/>
        </w:numPr>
      </w:pPr>
      <w:r>
        <w:t>磋商响应供应商应具有良好的商业信誉和健全的财务会计制度，具有履行合同所必需的设备和专业技术能力，有依法缴纳税收和社会保障资金的良好记录。</w:t>
      </w:r>
    </w:p>
    <w:p>
      <w:pPr>
        <w:numPr>
          <w:ilvl w:val="0"/>
          <w:numId w:val="4"/>
        </w:numPr>
        <w:jc w:val="left"/>
      </w:pPr>
      <w:r>
        <w:t>磋商响应供应商必须在磋商响应文件中详细说明其售后服务承诺和电话、传真等，并提供企业主要工作人员的联系方式。</w:t>
      </w:r>
    </w:p>
    <w:p>
      <w:pPr>
        <w:numPr>
          <w:ilvl w:val="0"/>
          <w:numId w:val="4"/>
        </w:numPr>
      </w:pPr>
      <w:r>
        <w:t>磋商响应供应商必须提供其参与本项目班子人员情况表。</w:t>
      </w:r>
    </w:p>
    <w:p>
      <w:pPr>
        <w:numPr>
          <w:ilvl w:val="0"/>
          <w:numId w:val="4"/>
        </w:numPr>
      </w:pPr>
      <w:r>
        <w:t>磋商响应供应商应明确磋商响应产品和采购要求存在正负偏离情况，对照磋商文件要求，逐条说明所提供货物和服务已对采购人的技术规格、商务要求做出了实质性的响应，或申明与技术规范书、商务要求条文的偏差和例外并列于《技术规格和商务偏离表》中。</w:t>
      </w:r>
    </w:p>
    <w:p>
      <w:pPr>
        <w:numPr>
          <w:ilvl w:val="0"/>
          <w:numId w:val="4"/>
        </w:numPr>
      </w:pPr>
      <w:r>
        <w:t>磋商响应供应商应依据磋商文件要求及磋商响应文件所作承诺履行职责，如有违约，采购人有权根据协议、合同采取措施保证本次采购项目的顺利进行，并相应追究违约方的违约责任。</w:t>
      </w:r>
    </w:p>
    <w:p>
      <w:pPr>
        <w:numPr>
          <w:ilvl w:val="0"/>
          <w:numId w:val="4"/>
        </w:numPr>
      </w:pPr>
      <w:r>
        <w:t>磋商响应供应商认为有利于采购人的其它优惠条款应单独列明。</w:t>
      </w:r>
    </w:p>
    <w:p>
      <w:pPr>
        <w:numPr>
          <w:ilvl w:val="0"/>
          <w:numId w:val="4"/>
        </w:numPr>
      </w:pPr>
      <w:r>
        <w:t>磋商响应供应商应对技术和商务条款如实承诺，若已在响应文件作出承诺，在履约中成交供应商未按照承诺提供服务的，采购人将从成交供应商的服务款中扣款，若因此造成采购人损失的，成交供应商应承诺相应损失，成交供应商不得有异议。</w:t>
      </w:r>
    </w:p>
    <w:p>
      <w:pPr>
        <w:numPr>
          <w:ilvl w:val="0"/>
          <w:numId w:val="4"/>
        </w:numPr>
      </w:pPr>
      <w:r>
        <w:rPr>
          <w:b/>
          <w:bCs/>
        </w:rPr>
        <w:t>★成交供应商出现2次（含）以上严重失误，采购人有权终止成交供应商的服务合同，由第二成交候选供应商提供后续服务（严重失误包含但不限于：由于成交供应商原因导致的采购人设备无法正常使用，造成不良后果；</w:t>
      </w:r>
      <w:r>
        <w:rPr>
          <w:rFonts w:hint="eastAsia"/>
          <w:b/>
          <w:bCs/>
        </w:rPr>
        <w:t>由于</w:t>
      </w:r>
      <w:r>
        <w:rPr>
          <w:b/>
          <w:bCs/>
        </w:rPr>
        <w:t>成交供应商</w:t>
      </w:r>
      <w:r>
        <w:rPr>
          <w:rFonts w:hint="eastAsia"/>
          <w:b/>
          <w:bCs/>
        </w:rPr>
        <w:t>在合同期间，由于服务</w:t>
      </w:r>
      <w:r>
        <w:rPr>
          <w:b/>
          <w:bCs/>
        </w:rPr>
        <w:t>态度问题，导致</w:t>
      </w:r>
      <w:r>
        <w:rPr>
          <w:rFonts w:hint="eastAsia"/>
          <w:b/>
          <w:bCs/>
        </w:rPr>
        <w:t>科室人员</w:t>
      </w:r>
      <w:r>
        <w:rPr>
          <w:b/>
          <w:bCs/>
        </w:rPr>
        <w:t>投诉；由于成交供应商原因导致医院内部资料泄露），供应商须提供书面承诺。</w:t>
      </w:r>
    </w:p>
    <w:p>
      <w:pPr>
        <w:numPr>
          <w:ilvl w:val="0"/>
          <w:numId w:val="4"/>
        </w:numPr>
      </w:pPr>
      <w:r>
        <w:t>本项目不允许成交供应商以任何名义</w:t>
      </w:r>
      <w:bookmarkStart w:id="0" w:name="_GoBack"/>
      <w:bookmarkEnd w:id="0"/>
      <w:r>
        <w:t>和理由进行转包，如有发现，视为成交供应商违约，且采购人有权单方终止合同；因成交供应商违约对采购人造成的损失的，需另行支付相应的赔偿。</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Helvetica Neue">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C323A"/>
    <w:multiLevelType w:val="singleLevel"/>
    <w:tmpl w:val="829C323A"/>
    <w:lvl w:ilvl="0" w:tentative="0">
      <w:start w:val="1"/>
      <w:numFmt w:val="decimal"/>
      <w:lvlText w:val="%1."/>
      <w:lvlJc w:val="left"/>
      <w:pPr>
        <w:ind w:left="425" w:hanging="425"/>
      </w:pPr>
      <w:rPr>
        <w:rFonts w:hint="default"/>
      </w:rPr>
    </w:lvl>
  </w:abstractNum>
  <w:abstractNum w:abstractNumId="1">
    <w:nsid w:val="CD09823D"/>
    <w:multiLevelType w:val="multilevel"/>
    <w:tmpl w:val="CD09823D"/>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2">
    <w:nsid w:val="E8159EA7"/>
    <w:multiLevelType w:val="singleLevel"/>
    <w:tmpl w:val="E8159EA7"/>
    <w:lvl w:ilvl="0" w:tentative="0">
      <w:start w:val="1"/>
      <w:numFmt w:val="decimal"/>
      <w:lvlText w:val="%1."/>
      <w:lvlJc w:val="left"/>
      <w:pPr>
        <w:ind w:left="425" w:hanging="425"/>
      </w:pPr>
      <w:rPr>
        <w:rFonts w:hint="default"/>
      </w:rPr>
    </w:lvl>
  </w:abstractNum>
  <w:abstractNum w:abstractNumId="3">
    <w:nsid w:val="0E7A1DE0"/>
    <w:multiLevelType w:val="multilevel"/>
    <w:tmpl w:val="0E7A1DE0"/>
    <w:lvl w:ilvl="0" w:tentative="0">
      <w:start w:val="2"/>
      <w:numFmt w:val="decimal"/>
      <w:suff w:val="nothing"/>
      <w:lvlText w:val="%1、"/>
      <w:lvlJc w:val="left"/>
      <w:pPr>
        <w:ind w:left="425" w:hanging="425"/>
      </w:pPr>
      <w:rPr>
        <w:rFonts w:hint="eastAsia"/>
      </w:rPr>
    </w:lvl>
    <w:lvl w:ilvl="1" w:tentative="0">
      <w:start w:val="1"/>
      <w:numFmt w:val="decimal"/>
      <w:suff w:val="nothing"/>
      <w:lvlText w:val="%1.%2 "/>
      <w:lvlJc w:val="left"/>
      <w:pPr>
        <w:ind w:left="1418" w:firstLine="284"/>
      </w:pPr>
      <w:rPr>
        <w:rFonts w:hint="eastAsia" w:ascii="宋体" w:hAnsi="宋体" w:eastAsia="宋体"/>
        <w:b w:val="0"/>
        <w:sz w:val="24"/>
        <w:szCs w:val="24"/>
      </w:rPr>
    </w:lvl>
    <w:lvl w:ilvl="2" w:tentative="0">
      <w:start w:val="1"/>
      <w:numFmt w:val="decimal"/>
      <w:suff w:val="nothing"/>
      <w:lvlText w:val="%1.%2.%3 "/>
      <w:lvlJc w:val="left"/>
      <w:pPr>
        <w:ind w:left="0" w:firstLine="510"/>
      </w:pPr>
      <w:rPr>
        <w:rFonts w:hint="eastAsia" w:ascii="宋体" w:hAnsi="宋体" w:eastAsia="宋体"/>
      </w:rPr>
    </w:lvl>
    <w:lvl w:ilvl="3" w:tentative="0">
      <w:start w:val="1"/>
      <w:numFmt w:val="decimal"/>
      <w:suff w:val="nothing"/>
      <w:lvlText w:val="%1.%2.%3.%4、"/>
      <w:lvlJc w:val="left"/>
      <w:pPr>
        <w:ind w:left="0" w:firstLine="510"/>
      </w:pPr>
      <w:rPr>
        <w:rFonts w:hint="eastAsia"/>
      </w:rPr>
    </w:lvl>
    <w:lvl w:ilvl="4" w:tentative="0">
      <w:start w:val="1"/>
      <w:numFmt w:val="decimal"/>
      <w:lvlText w:val="%1.%2.%3.%4.%5."/>
      <w:lvlJc w:val="left"/>
      <w:pPr>
        <w:tabs>
          <w:tab w:val="left" w:pos="0"/>
        </w:tabs>
        <w:ind w:left="992" w:hanging="992"/>
      </w:pPr>
      <w:rPr>
        <w:rFonts w:hint="eastAsia"/>
      </w:rPr>
    </w:lvl>
    <w:lvl w:ilvl="5" w:tentative="0">
      <w:start w:val="1"/>
      <w:numFmt w:val="decimal"/>
      <w:lvlText w:val="%1.%2.%3.%4.%5.%6."/>
      <w:lvlJc w:val="left"/>
      <w:pPr>
        <w:tabs>
          <w:tab w:val="left" w:pos="0"/>
        </w:tabs>
        <w:ind w:left="1134" w:hanging="1134"/>
      </w:pPr>
      <w:rPr>
        <w:rFonts w:hint="eastAsia"/>
      </w:rPr>
    </w:lvl>
    <w:lvl w:ilvl="6" w:tentative="0">
      <w:start w:val="1"/>
      <w:numFmt w:val="decimal"/>
      <w:lvlText w:val="%1.%2.%3.%4.%5.%6.%7."/>
      <w:lvlJc w:val="left"/>
      <w:pPr>
        <w:tabs>
          <w:tab w:val="left" w:pos="0"/>
        </w:tabs>
        <w:ind w:left="1276" w:hanging="1276"/>
      </w:pPr>
      <w:rPr>
        <w:rFonts w:hint="eastAsia"/>
      </w:rPr>
    </w:lvl>
    <w:lvl w:ilvl="7" w:tentative="0">
      <w:start w:val="1"/>
      <w:numFmt w:val="decimal"/>
      <w:lvlText w:val="%1.%2.%3.%4.%5.%6.%7.%8."/>
      <w:lvlJc w:val="left"/>
      <w:pPr>
        <w:tabs>
          <w:tab w:val="left" w:pos="0"/>
        </w:tabs>
        <w:ind w:left="1418" w:hanging="1418"/>
      </w:pPr>
      <w:rPr>
        <w:rFonts w:hint="eastAsia"/>
      </w:rPr>
    </w:lvl>
    <w:lvl w:ilvl="8" w:tentative="0">
      <w:start w:val="1"/>
      <w:numFmt w:val="decimal"/>
      <w:lvlText w:val="%1.%2.%3.%4.%5.%6.%7.%8.%9."/>
      <w:lvlJc w:val="left"/>
      <w:pPr>
        <w:tabs>
          <w:tab w:val="left" w:pos="0"/>
        </w:tabs>
        <w:ind w:left="1559" w:hanging="1559"/>
      </w:pPr>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xY2Y5ZjhhZDMxZjkzZjFmMzQzN2Y0OWQyNThjZTQifQ=="/>
  </w:docVars>
  <w:rsids>
    <w:rsidRoot w:val="00AC0E97"/>
    <w:rsid w:val="00031E2C"/>
    <w:rsid w:val="00417EF4"/>
    <w:rsid w:val="004311E9"/>
    <w:rsid w:val="0047712C"/>
    <w:rsid w:val="006A17B5"/>
    <w:rsid w:val="00AC0E97"/>
    <w:rsid w:val="00F134CC"/>
    <w:rsid w:val="00FB3223"/>
    <w:rsid w:val="07100621"/>
    <w:rsid w:val="099D6498"/>
    <w:rsid w:val="09A339CE"/>
    <w:rsid w:val="0C0D15D3"/>
    <w:rsid w:val="146401FE"/>
    <w:rsid w:val="14827D32"/>
    <w:rsid w:val="1B5A6237"/>
    <w:rsid w:val="24187544"/>
    <w:rsid w:val="246A59A4"/>
    <w:rsid w:val="29FE5DBA"/>
    <w:rsid w:val="2BC233EB"/>
    <w:rsid w:val="34CE3C5A"/>
    <w:rsid w:val="39317DFF"/>
    <w:rsid w:val="40421DF5"/>
    <w:rsid w:val="420D758F"/>
    <w:rsid w:val="439D4A0F"/>
    <w:rsid w:val="4CA06A07"/>
    <w:rsid w:val="4F6D5F41"/>
    <w:rsid w:val="4FD33566"/>
    <w:rsid w:val="544E765F"/>
    <w:rsid w:val="5FEA0B84"/>
    <w:rsid w:val="63E531D8"/>
    <w:rsid w:val="655D4F14"/>
    <w:rsid w:val="6971770E"/>
    <w:rsid w:val="69C06A45"/>
    <w:rsid w:val="69C73DA2"/>
    <w:rsid w:val="6BD53638"/>
    <w:rsid w:val="70FA7184"/>
    <w:rsid w:val="71837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autoRedefine/>
    <w:qFormat/>
    <w:uiPriority w:val="0"/>
    <w:pPr>
      <w:keepNext/>
      <w:keepLines/>
      <w:numPr>
        <w:ilvl w:val="0"/>
        <w:numId w:val="1"/>
      </w:numPr>
      <w:spacing w:before="340" w:after="330" w:line="240" w:lineRule="auto"/>
      <w:outlineLvl w:val="0"/>
    </w:pPr>
    <w:rPr>
      <w:rFonts w:eastAsia="黑体"/>
      <w:b/>
      <w:kern w:val="44"/>
      <w:sz w:val="32"/>
    </w:rPr>
  </w:style>
  <w:style w:type="paragraph" w:styleId="3">
    <w:name w:val="heading 2"/>
    <w:basedOn w:val="1"/>
    <w:next w:val="1"/>
    <w:autoRedefine/>
    <w:unhideWhenUsed/>
    <w:qFormat/>
    <w:uiPriority w:val="0"/>
    <w:pPr>
      <w:keepNext/>
      <w:keepLines/>
      <w:numPr>
        <w:ilvl w:val="1"/>
        <w:numId w:val="1"/>
      </w:numPr>
      <w:spacing w:line="240" w:lineRule="auto"/>
      <w:outlineLvl w:val="1"/>
    </w:pPr>
    <w:rPr>
      <w:rFonts w:ascii="Arial" w:hAnsi="Arial" w:eastAsia="黑体"/>
      <w:b/>
      <w:sz w:val="30"/>
    </w:rPr>
  </w:style>
  <w:style w:type="paragraph" w:styleId="4">
    <w:name w:val="heading 3"/>
    <w:basedOn w:val="1"/>
    <w:next w:val="1"/>
    <w:autoRedefine/>
    <w:unhideWhenUsed/>
    <w:qFormat/>
    <w:uiPriority w:val="0"/>
    <w:pPr>
      <w:keepNext/>
      <w:keepLines/>
      <w:numPr>
        <w:ilvl w:val="2"/>
        <w:numId w:val="1"/>
      </w:numPr>
      <w:spacing w:line="240" w:lineRule="auto"/>
      <w:outlineLvl w:val="2"/>
    </w:pPr>
    <w:rPr>
      <w:rFonts w:eastAsia="黑体"/>
      <w:b/>
      <w:sz w:val="28"/>
    </w:rPr>
  </w:style>
  <w:style w:type="paragraph" w:styleId="5">
    <w:name w:val="heading 4"/>
    <w:basedOn w:val="1"/>
    <w:next w:val="1"/>
    <w:autoRedefine/>
    <w:unhideWhenUsed/>
    <w:qFormat/>
    <w:uiPriority w:val="0"/>
    <w:pPr>
      <w:keepNext/>
      <w:keepLines/>
      <w:numPr>
        <w:ilvl w:val="3"/>
        <w:numId w:val="1"/>
      </w:numPr>
      <w:spacing w:line="240" w:lineRule="auto"/>
      <w:outlineLvl w:val="3"/>
    </w:pPr>
    <w:rPr>
      <w:rFonts w:ascii="Arial" w:hAnsi="Arial" w:eastAsia="黑体"/>
      <w:b/>
    </w:rPr>
  </w:style>
  <w:style w:type="paragraph" w:styleId="6">
    <w:name w:val="heading 5"/>
    <w:basedOn w:val="1"/>
    <w:next w:val="1"/>
    <w:autoRedefine/>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autoRedefine/>
    <w:semiHidden/>
    <w:unhideWhenUsed/>
    <w:qFormat/>
    <w:uiPriority w:val="0"/>
    <w:pPr>
      <w:keepNext/>
      <w:keepLines/>
      <w:numPr>
        <w:ilvl w:val="5"/>
        <w:numId w:val="1"/>
      </w:numPr>
      <w:spacing w:before="240" w:after="64" w:line="317" w:lineRule="auto"/>
      <w:outlineLvl w:val="5"/>
    </w:pPr>
    <w:rPr>
      <w:rFonts w:ascii="Arial" w:hAnsi="Arial" w:eastAsia="黑体"/>
      <w:b/>
    </w:rPr>
  </w:style>
  <w:style w:type="paragraph" w:styleId="8">
    <w:name w:val="heading 7"/>
    <w:basedOn w:val="1"/>
    <w:next w:val="1"/>
    <w:autoRedefine/>
    <w:semiHidden/>
    <w:unhideWhenUsed/>
    <w:qFormat/>
    <w:uiPriority w:val="0"/>
    <w:pPr>
      <w:keepNext/>
      <w:keepLines/>
      <w:numPr>
        <w:ilvl w:val="6"/>
        <w:numId w:val="1"/>
      </w:numPr>
      <w:spacing w:before="240" w:after="64" w:line="317" w:lineRule="auto"/>
      <w:outlineLvl w:val="6"/>
    </w:pPr>
    <w:rPr>
      <w:b/>
    </w:rPr>
  </w:style>
  <w:style w:type="paragraph" w:styleId="9">
    <w:name w:val="heading 8"/>
    <w:basedOn w:val="1"/>
    <w:next w:val="1"/>
    <w:autoRedefine/>
    <w:semiHidden/>
    <w:unhideWhenUsed/>
    <w:qFormat/>
    <w:uiPriority w:val="0"/>
    <w:pPr>
      <w:keepNext/>
      <w:keepLines/>
      <w:numPr>
        <w:ilvl w:val="7"/>
        <w:numId w:val="1"/>
      </w:numPr>
      <w:spacing w:before="240" w:after="64" w:line="317" w:lineRule="auto"/>
      <w:outlineLvl w:val="7"/>
    </w:pPr>
    <w:rPr>
      <w:rFonts w:ascii="Arial" w:hAnsi="Arial" w:eastAsia="黑体"/>
    </w:rPr>
  </w:style>
  <w:style w:type="paragraph" w:styleId="10">
    <w:name w:val="heading 9"/>
    <w:basedOn w:val="1"/>
    <w:next w:val="1"/>
    <w:autoRedefine/>
    <w:semiHidden/>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Body Text"/>
    <w:basedOn w:val="1"/>
    <w:next w:val="12"/>
    <w:autoRedefine/>
    <w:qFormat/>
    <w:uiPriority w:val="0"/>
    <w:pPr>
      <w:spacing w:after="120"/>
    </w:pPr>
  </w:style>
  <w:style w:type="paragraph" w:styleId="12">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列表段落1"/>
    <w:basedOn w:val="1"/>
    <w:autoRedefine/>
    <w:qFormat/>
    <w:uiPriority w:val="0"/>
    <w:pPr>
      <w:ind w:firstLine="420" w:firstLineChars="200"/>
    </w:pPr>
    <w:rPr>
      <w:rFonts w:ascii="Calibri" w:hAnsi="Calibri"/>
      <w:szCs w:val="22"/>
    </w:rPr>
  </w:style>
  <w:style w:type="paragraph" w:customStyle="1" w:styleId="17">
    <w:name w:val="表头文本"/>
    <w:basedOn w:val="1"/>
    <w:autoRedefine/>
    <w:qFormat/>
    <w:uiPriority w:val="0"/>
    <w:pPr>
      <w:autoSpaceDE w:val="0"/>
      <w:autoSpaceDN w:val="0"/>
      <w:adjustRightInd w:val="0"/>
      <w:jc w:val="center"/>
    </w:pPr>
    <w:rPr>
      <w:rFonts w:ascii="Times New Roman" w:hAnsi="Times New Roman" w:eastAsia="宋体" w:cs="Times New Roman"/>
      <w:b/>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4505</Words>
  <Characters>4596</Characters>
  <Lines>34</Lines>
  <Paragraphs>9</Paragraphs>
  <TotalTime>4</TotalTime>
  <ScaleCrop>false</ScaleCrop>
  <LinksUpToDate>false</LinksUpToDate>
  <CharactersWithSpaces>4612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2024-07-10T07:07:00Z</dcterms:created>
  <dc:creator>Administrator</dc:creator>
  <cp:lastModifiedBy>叶阿娜</cp:lastModifiedBy>
  <dcterms:modified xsi:type="dcterms:W3CDTF">2024-07-18T08:44:40Z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D920135C57EB411A9B15B549C6AB7BC3_13</vt:lpwstr>
  </property>
</Properties>
</file>